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32.2001.114 vom 11. Dezember 2001</w:t>
      </w:r>
    </w:p>
    <w:p>
      <w:r>
        <w:t>TI Tribunale d'appello, 2001-12-11, IT</w:t>
      </w:r>
    </w:p>
    <w:p>
      <w:r>
        <w:rPr>
          <w:b/>
        </w:rPr>
        <w:t xml:space="preserve">Quelle: </w:t>
      </w:r>
      <w:r>
        <w:t>https://mcp.opencaselaw.ch/entscheid/ti_gerichte_32.2001.114</w:t>
      </w:r>
    </w:p>
    <w:p>
      <w:r>
        <w:t>FR: TI_GERICHTE 32.2001.114 du 11 décembre 2001</w:t>
      </w:r>
    </w:p>
    <w:p>
      <w:r>
        <w:t>IT: TI_GERICHTE 32.2001.114 del 11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07.06.2002 32.2001.114 Tessin Tribunale cantonale delle assicurazioni 07.06.2002 32.2001.114 Ticino Tribunale cantonale delle assicurazioni 07.06.2002 32.2001.114</w:t>
      </w:r>
    </w:p>
    <w:p>
      <w:r>
        <w:t>Sentenza o decisione senza scheda</w:t>
      </w:r>
    </w:p>
    <w:p>
      <w:r>
        <w:t>RACCOMANDATA Incarto n. 32.2001.00114 BS Lugano 7 giugno 2002 In nome della Repubblica e Cantone del Ticino Il vicepresidente del Tribunale cantonale delle assicurazioni Giudice Raffaele Guffi visto il ricorso del 14 dicembre 2001 interposto da __________ , contro la decisione del 11 dicembre 2001 emanata da Ufficio assicurazione invalidità, 6501 Bellinzona 1 Caselle, in materia di assicurazione federale per l'invalidità considerato in fatto e in diritto: -   che con decisione 11 dicembre 2001 l’Ufficio assicurazione invalidità (UAI) ha posto __________, classe 1964, al beneficio di un’indennità giornaliera di fr. 107,30 per il periodo 1° dicembre 2001 – 31 maggio 2002; -   che contro la decisione amministrativa è tempestivamente insorto l’assicurato chiedendo che l’indennità giornaliera venga determinata sulla base del suo ultimo salario quale istruttore militare e non come impiegato di vendita; -   che l’8 aprile 2002 l’amministrazione ha emesso una nuova decisione, in sostituzione di quella impugnata, dove ha fissato un’indennità giornaliera di fr. 139.— (doc. _); -   che, interpellato dal TCA, con scritto 8 maggio 2002 il ricorrente ha chiesto la sospensione della causa poiché la pratica inerente l’indennità giornaliera verrà riesaminata dall’assicurazione militare (doc. _); -   che lo scrivente Tribunale ha sospeso la causa sino al 30 giugno 2002 (doc. _); -   che con lettera 5 giugno 2002 __________ ha scritto al TCA quanto segue (sottolineatura del redattore): “l’assicurazione militare ha riesaminato il mio caso concernente le indennità giornaliere, con la presente intendo quindi ritirare il ricorso in questione e ringraziarvi della vostra disponibilità” (doc. _); -   che a sensi dell’art. 44 cpv.1 LAI, le persone assicurate alla LAI e nel contempo soggette all’assicurazione obbligatoria contro gli infortuni o dell’assicurazione militare, hanno diritto ai provvedimenti d’integrazione dell’assicurazione invalidità soltanto se gli stessi non sono concessi dalle altre assicurazioni; -   che con lettera 27 maggio 2002 l’Ufficio federale dell’assicurazione militare (UFAM), Sezione AM 7 Bellinzona, ha comunicato all’insorgente di assumersi i costi relativi alla riformazione professionale quale assistente di cura e di riconoscere retroattivamente dal 1° maggio 1999 sino al termine della riformazione stessa, una perdita di guadagno basata sul salario di istruttore militare e non più su quello di impiegato di vendita come finora fatto (doc. _); -   che il 27 maggio 2002 l’UFAM ha comunicato all’UAI di assumersi la riformazione professionale dell’assicurato e di rimborsare le indennità giornaliere corrisposte dalla Cassa di compensazione dell’artigianato svizzero dal 1° settembre 2001 al 31 maggio 2002 (doc. _); -   che, richiamato l’art. 44 cpv. 1 LAI, l’obbligo di versare l’indennità giornaliera spetta all’assicurazione militare la quale ha preso a carico la riformazione professionale dell’assicurato, considerato inoltre che l’UFAM ha rimborsato all’AI l’indennità giornaliera già versata, la decisione 8 aprile 2002 è divenuta pertanto priva di oggetto; -   che per questi motivi la causa dev’essere stralciata dai ruoli viste le disposizioni della Legge di procedura per le cause davanti al TCA, decreta 1. la causa è stralciata dai ruoli 2.   non si percepiscono né tasse né spese; 3. intimazione alle parti a sensi ed effetti di legge.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