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32.2000.81 vom 14. August 2000</w:t>
      </w:r>
    </w:p>
    <w:p>
      <w:r>
        <w:t>TI Tribunale d'appello, 2000-08-14, IT</w:t>
      </w:r>
    </w:p>
    <w:p>
      <w:r>
        <w:rPr>
          <w:b/>
        </w:rPr>
        <w:t xml:space="preserve">Quelle: </w:t>
      </w:r>
      <w:r>
        <w:t>https://mcp.opencaselaw.ch/entscheid/ti_gerichte_32.2000.81</w:t>
      </w:r>
    </w:p>
    <w:p>
      <w:r>
        <w:t>FR: TI_GERICHTE 32.2000.81 du 14 août 2000</w:t>
      </w:r>
    </w:p>
    <w:p>
      <w:r>
        <w:t>IT: TI_GERICHTE 32.2000.81 del 14 agosto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n.32.2000.00081</w:t>
      </w:r>
    </w:p>
    <w:p>
      <w:r>
        <w:t>Rif. costo n.</w:t>
      </w:r>
    </w:p>
    <w:p>
      <w:r>
        <w:t>161.318.05</w:t>
      </w:r>
    </w:p>
    <w:p>
      <w:r>
        <w:t>rg/BS/gm</w:t>
      </w:r>
    </w:p>
    <w:p>
      <w:r>
        <w:t>Lugano</w:t>
      </w:r>
    </w:p>
    <w:p>
      <w:r>
        <w:t>16 novembre 2000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Raffaele Guffi</w:t>
      </w:r>
    </w:p>
    <w:p>
      <w:r>
        <w:t>visto il ricorso del 12 settembre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14 agosto 2000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sentenza16 novembre 2000con la quale è stato stralciato il gravame;</w:t>
      </w:r>
    </w:p>
    <w:p>
      <w:r>
        <w:t>richiamata l'ordinanza 26 ottobre 2000 con la quale la parte ricorrente è stata posta la beneficio dell'assistenza giudiziaria;</w:t>
      </w:r>
    </w:p>
    <w:p>
      <w:r>
        <w:t>rilevato che in data 14 novembre 2000 l'avvocato _________ha trasmesso l'allegata nota d'onorario per la tassazione;</w:t>
      </w:r>
    </w:p>
    <w:p>
      <w:r>
        <w:t>visto in particolare l'art. 21 della Legge di procedura 6.4.61;</w:t>
      </w:r>
    </w:p>
    <w:p>
      <w:r>
        <w:t>ordina1. la nota è tassata in fr. 553.50;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