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32.2000.70 vom 23. Juni 2000</w:t>
      </w:r>
    </w:p>
    <w:p>
      <w:r>
        <w:t>TI Tribunale d'appello, 2000-06-23, IT</w:t>
      </w:r>
    </w:p>
    <w:p>
      <w:r>
        <w:rPr>
          <w:b/>
        </w:rPr>
        <w:t xml:space="preserve">Quelle: </w:t>
      </w:r>
      <w:r>
        <w:t>https://mcp.opencaselaw.ch/entscheid/ti_gerichte_32.2000.70</w:t>
      </w:r>
    </w:p>
    <w:p>
      <w:r>
        <w:t>FR: TI_GERICHTE 32.2000.70 du 23 juin 2000</w:t>
      </w:r>
    </w:p>
    <w:p>
      <w:r>
        <w:t>IT: TI_GERICHTE 32.2000.70 del 23 giugno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2</w:t>
      </w:r>
    </w:p>
    <w:p>
      <w:r>
        <w:t>Esse non sono ridotte quando, addizionate alla rendita del padre o della madre, non superano la somma del 150 per cento dell’importo minimo della rendita di vecchiaia a cui si aggiungono gli importi minimi di tre rendite per figli o per orfani. Questo importo è aumentato, a partire dal quarto figlio, e per ciascuno dei seguenti, dell’importo mensile massimo della rendita di vecchiaia (art. 34 cpv. 3 LAVS).</w:t>
      </w:r>
    </w:p>
    <w:p>
      <w:r>
        <w:rPr>
          <w:b/>
        </w:rPr>
        <w:t>E. 3</w:t>
      </w:r>
    </w:p>
    <w:p>
      <w:r>
        <w:t>La riduzione è ripartita tra ciascuna delle rendite per figli o delle rendite per orfani.</w:t>
      </w:r>
    </w:p>
    <w:p>
      <w:r>
        <w:rPr>
          <w:b/>
        </w:rPr>
        <w:t>E. 4</w:t>
      </w:r>
    </w:p>
    <w:p>
      <w:r>
        <w:t>OPC fatto in vista della concessione di prestazioni da parte dell’AI e della LPC. In conclusione, ritenuto che la compensazione delle prestazioni AI/PC arretrate con gli assegni familiari e con gli anticipi di pensione alimentare per i figli minorenni non è legittima, visto inoltre che gli importi compensati sono stati già versati ai rispettivi enti (cfr. retro delle decisioni contestate), l'UAI e la Cassa cantonale di compensazione sono tenute a versare all’assicurata fr. 24'292 (21'672 + 2'620), rispettivamente fr. 27'844 (27'224 + 620). Su questo punto, dunque, i ricorsi sono accolti. Per il resto, le decisioni contestate sono da modificare e sostituire con le nuove pronunzie del 14 e 25 maggio 2001 in ambito AI e PC. 2.9.   Visto l’esito della vertenza, l’assicurata, rappresentata da un legale, ha diritto a delle ripetibili (art. 85 cpv. 2 lett. f LAVS applicabile a seguito dei rinvii di cui agli art. 69 LAI e 7 LPC). In queste circostanze, l'istanza 14 agosto 2000 tendente alla concessione dell'assistenza giudiziaria (inc. __________), come pure il decreto 19 novembre 2000 (inc. __________) sono privi di oggetto (cfr. DTF 124 V 309 consid. 6; STFA 18 agosto 1999 nella causa T, U 59/99),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