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32.2000.7 vom 1. Februar 2000</w:t>
      </w:r>
    </w:p>
    <w:p>
      <w:r>
        <w:t>TI Tribunale d'appello, 2000-02-01, IT</w:t>
      </w:r>
    </w:p>
    <w:p>
      <w:r>
        <w:rPr>
          <w:b/>
        </w:rPr>
        <w:t xml:space="preserve">Quelle: </w:t>
      </w:r>
      <w:r>
        <w:t>https://mcp.opencaselaw.ch/entscheid/ti_gerichte_32.2000.7</w:t>
      </w:r>
    </w:p>
    <w:p>
      <w:r>
        <w:t>FR: TI_GERICHTE 32.2000.7 du 1 février 2000</w:t>
      </w:r>
    </w:p>
    <w:p>
      <w:r>
        <w:t>IT: TI_GERICHTE 32.2000.7 del 1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; 2.   non si percepiscono né tasse né spese;</w:t>
      </w:r>
    </w:p>
    <w:p>
      <w:r>
        <w:rPr>
          <w:b/>
        </w:rPr>
        <w:t>E. 3</w:t>
      </w:r>
    </w:p>
    <w:p>
      <w:r>
        <w:t>intimazione alle parti a sensi ed effetti di legge. Il giudice delegato del Tribunale cantonale delle assicurazioni 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