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32.2000.45 vom 13. April 2000</w:t>
      </w:r>
    </w:p>
    <w:p>
      <w:r>
        <w:t>TI Tribunale d'appello, 2000-04-13, IT</w:t>
      </w:r>
    </w:p>
    <w:p>
      <w:r>
        <w:rPr>
          <w:b/>
        </w:rPr>
        <w:t xml:space="preserve">Quelle: </w:t>
      </w:r>
      <w:r>
        <w:t>https://mcp.opencaselaw.ch/entscheid/ti_gerichte_32.2000.45</w:t>
      </w:r>
    </w:p>
    <w:p>
      <w:r>
        <w:t>FR: TI_GERICHTE 32.2000.45 du 13 avril 2000</w:t>
      </w:r>
    </w:p>
    <w:p>
      <w:r>
        <w:t>IT: TI_GERICHTE 32.2000.45 del 13 aprile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n.32.2000.00045</w:t>
      </w:r>
    </w:p>
    <w:p>
      <w:r>
        <w:t>Rif. costo n.</w:t>
      </w:r>
    </w:p>
    <w:p>
      <w:r>
        <w:t>161.318.05</w:t>
      </w:r>
    </w:p>
    <w:p>
      <w:r>
        <w:t>rg/gm</w:t>
      </w:r>
    </w:p>
    <w:p>
      <w:r>
        <w:t>Lugano</w:t>
      </w:r>
    </w:p>
    <w:p>
      <w:r>
        <w:t>19 giugno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10 maggio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13 aprile 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sentenza16 gennaio 2001con la quale è stato stralciato il gravame;</w:t>
      </w:r>
    </w:p>
    <w:p>
      <w:r>
        <w:t>richiamata l'ordinanza 18 luglio 2000 con la quale la parte ricorrente è stata posta al beneficio dell'assistenza giudiziaria;</w:t>
      </w:r>
    </w:p>
    <w:p>
      <w:r>
        <w:t>rilevato che in data 15 giugno 2001 l'avvocato ________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