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32.2000.36 vom 15. März 2000</w:t>
      </w:r>
    </w:p>
    <w:p>
      <w:r>
        <w:t>TI Tribunale d'appello, 2000-03-15, IT</w:t>
      </w:r>
    </w:p>
    <w:p>
      <w:r>
        <w:rPr>
          <w:b/>
        </w:rPr>
        <w:t xml:space="preserve">Quelle: </w:t>
      </w:r>
      <w:r>
        <w:t>https://mcp.opencaselaw.ch/entscheid/ti_gerichte_32.2000.36</w:t>
      </w:r>
    </w:p>
    <w:p>
      <w:r>
        <w:t>FR: TI_GERICHTE 32.2000.36 du 15 mars 2000</w:t>
      </w:r>
    </w:p>
    <w:p>
      <w:r>
        <w:t>IT: TI_GERICHTE 32.2000.36 del 15 marzo 2000</w:t>
      </w:r>
    </w:p>
    <w:p>
      <w:pPr>
        <w:pStyle w:val="Heading2"/>
      </w:pPr>
      <w:r>
        <w:t>Regeste</w:t>
      </w:r>
    </w:p>
    <w:p>
      <w:r>
        <w:t>Sentenza o decisione senza scheda</w:t>
      </w:r>
    </w:p>
    <w:p>
      <w:pPr>
        <w:pStyle w:val="Heading2"/>
      </w:pPr>
      <w:r>
        <w:t>Erwägungen</w:t>
      </w:r>
    </w:p>
    <w:p>
      <w:r>
        <w:rPr>
          <w:b/>
        </w:rPr>
        <w:t>E. 3</w:t>
      </w:r>
    </w:p>
    <w:p>
      <w:r>
        <w:t>(…)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w:t>
      </w:r>
    </w:p>
    <w:p>
      <w:r>
        <w:rPr>
          <w:b/>
        </w:rPr>
        <w:t>E. 4</w:t>
      </w:r>
    </w:p>
    <w:p>
      <w:r>
        <w:t>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w:t>
      </w:r>
    </w:p>
    <w:p>
      <w:r>
        <w:rPr>
          <w:b/>
        </w:rPr>
        <w:t>E. 5</w:t>
      </w:r>
    </w:p>
    <w:p>
      <w:r>
        <w:t>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 Nella recente sentenza 4 settembre 2000 nella causa  N. R. (inc. __________), in merito al calcolo del reddito da invalido questa Corte, sulla scorta delle precisazioni fornite dall'Ufficio federale di statistica (UFS) circa l'applicabilità dei dati statistici salariali contenuti nelle inchieste sulla struttura dei salari pubblicate dall'UFAS ogni due anni, ha rilevato quanto segue: "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 salaires des femmes et des hommes." Ora, dalle citate tabelle figura che nel Canton Ticino per il 1998 il salario mediano di una donna esercitante attività semplici e ripetitive era di fr. 2683.-- al mese nel settore pubblico e privato (TA13), mentre invece nel settore privato il salario ammontava a fr. 2672.-- mensili (TA14). (A livello nazionale esso era invece di fr. 3505.--, TA1). Infine, va ancora ricordato che i salari risultanti dalle statistiche devono essere elevati per tenere conto di una durata media del lavoro di 41,9 ore e non di 40 ore (cfr. Pratique VSI 2000 pag. 85: "Il convient cependant de relever que ce salaire standardisé se base généralement sur une durée de travail de 40 heures par semaine, ce qui est inférieur à l'horaire habituel moyen de travail de 41,9 heures dans les entreprises en 1996 (L'économie publique, 1999 n° 8, annexe p. 27, Tableau B 9.2). Pour un horaire de travail hebdomadaire de 41,9 heures, le salaire se monte ainsi à 4498 francs par mois ou à 53976 francs par année (Fr. 4498.-- x 12") e, se del caso, adattati al rincaro (cfr. STFA del 9 maggio 2000 nella causa I. consid. 7a). Questo porterebbe, nel 1998, il salario ipotetico conseguibile in attività leggera adeguata esercitata a tempo pieno e prima di eventuali riduzioni per motivi particolari, che possono arrivare al massimo al 25% (cfr. DTF 124 V 323: Pratique VSI 2000 pag. 85 e, soprattutto, sentenza del</w:t>
      </w:r>
    </w:p>
    <w:p>
      <w:r>
        <w:rPr>
          <w:b/>
        </w:rPr>
        <w:t>E. 9</w:t>
      </w:r>
    </w:p>
    <w:p>
      <w:r>
        <w:t>maggio 2000 nella causa A. (I 482/99), in fr. 45'390.-- (rispettivamente fr. 47'929.--) per gli uomini e in fr. 33'587.-- (rispettivamente: fr. 33'725.--) per le donne." 2.7.  Nella fattispecie in esame, questo TCA non può non rilevare come la fissazione del reddito da invalido operata dall'UAI non soddisfi le esigenze poste dalla nuova giurisprudenza. L'incarto deve pertanto essere rinviato all'amministrazione perché determini nuovamente tale reddito conformemente ai suevidenziati dettami giurisprudenziali. Sulla base della recente giurisprudenza cantonale, l'UAI dovrà segnatamente accertare in che misura l'ammontare del reddito conseguibile dall'assicurata in attività leggere svolte al 50% è suscettibile di essere ulteriormente ridotto in considerazione di circostanze personali e professionali quali in particolare l'età, gli anni di servizio, le limitazioni dovute al danno alla salute e il grado d'occupazione, ritenuta una riduzione massima del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