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32.2000.21 vom 14. Januar 2000</w:t>
      </w:r>
    </w:p>
    <w:p>
      <w:r>
        <w:t>TI Tribunale d'appello, 2000-01-14, IT</w:t>
      </w:r>
    </w:p>
    <w:p>
      <w:r>
        <w:rPr>
          <w:b/>
        </w:rPr>
        <w:t xml:space="preserve">Quelle: </w:t>
      </w:r>
      <w:r>
        <w:t>https://mcp.opencaselaw.ch/entscheid/ti_gerichte_32.2000.21</w:t>
      </w:r>
    </w:p>
    <w:p>
      <w:r>
        <w:t>FR: TI_GERICHTE 32.2000.21 du 14 janvier 2000</w:t>
      </w:r>
    </w:p>
    <w:p>
      <w:r>
        <w:t>IT: TI_GERICHTE 32.2000.21 del 14 gennaio 2000</w:t>
      </w:r>
    </w:p>
    <w:p>
      <w:pPr>
        <w:pStyle w:val="Heading2"/>
      </w:pPr>
      <w:r>
        <w:t>Regeste</w:t>
      </w:r>
    </w:p>
    <w:p>
      <w:r>
        <w:t>Sentenza o decisione senza scheda</w:t>
      </w:r>
    </w:p>
    <w:p>
      <w:pPr>
        <w:pStyle w:val="Heading2"/>
      </w:pPr>
      <w:r>
        <w:t>Erwägungen</w:t>
      </w:r>
    </w:p>
    <w:p>
      <w:r>
        <w:rPr>
          <w:b/>
        </w:rPr>
        <w:t>E. 1</w:t>
      </w:r>
    </w:p>
    <w:p>
      <w:r>
        <w:t>Direzione dell'azienda, amministrazione 10% 10%</w:t>
      </w:r>
    </w:p>
    <w:p>
      <w:r>
        <w:rPr>
          <w:b/>
        </w:rPr>
        <w:t>E. 2</w:t>
      </w:r>
    </w:p>
    <w:p>
      <w:r>
        <w:t>Lavori da carrozziere e verniciatore 80% 45%</w:t>
      </w:r>
    </w:p>
    <w:p>
      <w:r>
        <w:rPr>
          <w:b/>
        </w:rPr>
        <w:t>E. 3</w:t>
      </w:r>
    </w:p>
    <w:p>
      <w:r>
        <w:t>Servizio picchetto 5% 2.5%</w:t>
      </w:r>
    </w:p>
    <w:p>
      <w:r>
        <w:rPr>
          <w:b/>
        </w:rPr>
        <w:t>E. 4</w:t>
      </w:r>
    </w:p>
    <w:p>
      <w:r>
        <w:t>Lavori di pulizia, manutenzione stabili 5% 2.5% 100% 55% (Doc. AI _) 2.7.   In casu l'UAI, tenuto conto delle risultanze dell'inchiesta, ha quantificato l'incapacità di guadagno del ricorrente al 45%, ritenendo in sostanza l'assicurato in grado di dedicarsi, come si evince dalla tabella sopra riportata, nell'azienda di cui è titolare unitamente al fratello, in misura completa a compiti di direzione e amministrativi. E' stata per contro evidenziata una riduzione del 50% nelle mansioni di carrozziere, nel servizio picchetto e nei lavori di pulizia - ciò che corrisponde del resto alla limitazione di rendimento posta in rilievo dal profilo medico ed in relazione alla quale è stata indicata l'esigibilità di attività comportanti impegno e sforzi fisici leggeri o moderati (cfr. doc. AI _). Per quanto riguarda le contestate mansioni amministrative e direttive svolte nell'ambito dell'attività aziendale, dal rapporto d'inchiesta redatto sulla base delle indicazioni e informazioni fornite dall'assicurato, come visto risulta che quest'ultimo le svolgeva nella misura del 10% rispetto all'insieme dei lavori consueti. Ora, quand'anche fosse ipotizzabile che, contrariamente agli accertamenti effettuati dall'incaricato dell'inchiesta - della cui attendibilità nessun elemento o indizio agli atti permette comunque di dubitare - prima dell'insorgenza del danno alla salute l'interessato non svolgeva alcuna attività di tipo amministrativo o direttivo, appare nella specie giustificato e ragionevole pretendere da parte dell'assicurato, conformemente ai dettami giurisprudenziali sopra ricordati (cfr. consid. 2.4), che, al fine di ridurre la propria incapacità di guadagno, sostituisca nella misura del 10 % compiti richiedenti sforzo fisico con mansioni di tipo amministrativo non richiedenti particolari conoscenze commerciali o aziendali. Tali mansioni, quali in particolare il contatto con i clienti, con i fornitori, l'allestimento di offerte ecc. - da gestire in collaborazione con il fratello e da considerarsi senz'altro compatibili con l'affezione di cui è portatore - possono ragionevolmente essere assunte da __________ quale contitolare dell'azienda. Egli è infatti  provvisto di un diploma di carrozziere (cfr. doc. AI _) ed è con ogni verosimiglianza munito delle capacità richieste per l'adempimento di dette mansioni, mentre che, nella misura sopra indicata, l'attività di tipo manuale svolta dall'assicurato - in particolare le mansioni di pulizia, servizio picchetto e manutenzione - può essere ragionevolmente assunta dal fratello senza che questi venga distolto dalla sua principale mansione di verniciatore. In simili condizioni appare pertanto dimostrato con la certezza richiesta nel campo delle assicurazioni sociali (cfr. SVR 1996 KV Nr. 85 pag. 269; SVR 1996 LPC Nr. 22 pag. 263ss; DTF 121 V 208 consid. 6a; RAMI 1994 pag. 210/211), che il danno alla salute di cui l'assicurato è portatore provoca, nella situazione concreta, una perdita di guadagno pari al 45%. Il querelato provvedimento con cui l'amministrazione ha assegnato all'assicurato un quarto di rendita merita pertanto integrale conferma. Visto quanto precede, il ricorso deve essere respinto e l'atto impugnato confermato.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