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32.2000.112 vom 19. Oktober 2001</w:t>
      </w:r>
    </w:p>
    <w:p>
      <w:r>
        <w:t>TI Tribunale d'appello, 2001-10-19, IT</w:t>
      </w:r>
    </w:p>
    <w:p>
      <w:r>
        <w:rPr>
          <w:b/>
        </w:rPr>
        <w:t xml:space="preserve">Quelle: </w:t>
      </w:r>
      <w:r>
        <w:t>https://mcp.opencaselaw.ch/entscheid/ti_gerichte_32.2000.112</w:t>
      </w:r>
    </w:p>
    <w:p>
      <w:r>
        <w:t>FR: TI_GERICHTE 32.2000.112 du 19 octobre 2001</w:t>
      </w:r>
    </w:p>
    <w:p>
      <w:r>
        <w:t>IT: TI_GERICHTE 32.2000.112 del 19 ottobre 2001</w:t>
      </w:r>
    </w:p>
    <w:p>
      <w:pPr>
        <w:pStyle w:val="Heading2"/>
      </w:pPr>
      <w:r>
        <w:t>Volltext</w:t>
      </w:r>
    </w:p>
    <w:p>
      <w:r>
        <w:t>Incarto n.32.2000.00112</w:t>
      </w:r>
    </w:p>
    <w:p>
      <w:r>
        <w:t>rg/gm</w:t>
      </w:r>
    </w:p>
    <w:p>
      <w:r>
        <w:t>Lugano</w:t>
      </w:r>
    </w:p>
    <w:p>
      <w:r>
        <w:t>20 giugno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14 novembre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19 ottobre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rilevato che con la decisione 19 ottobre 2000 qui contestata l'UAI ha respinto la domanda di revisione dell'assicurata (cfr. Doc. _);</w:t>
      </w:r>
    </w:p>
    <w:p>
      <w:r>
        <w:t>visto lo scritto 8 giugno 2001 col quale l'UAI comunica l'annullamento della decisione oggetto della vertenza e che non appena in possesso del decreto di stralcio della causa procederà alla chiesta revisione (cfr. Doc. _);</w:t>
      </w:r>
    </w:p>
    <w:p>
      <w:r>
        <w:t>richiamato lo scritto 19 giugno 2001 col quale l'__________ aderisce alla proposta dell'UAI e comunica il proprio accordo allo stralcio del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ruoli;</w:t>
      </w:r>
    </w:p>
    <w:p>
      <w:r>
        <w:t>2.   non si prelevano né tasse né spese;</w:t>
      </w:r>
    </w:p>
    <w:p>
      <w:r>
        <w:t>l'UAI verserà alla ricorrente fr. 500.- a titolo di ripetibili;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