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31.2025.7 vom 24. Oktober 2025</w:t>
      </w:r>
    </w:p>
    <w:p>
      <w:r>
        <w:t>TI Tribunale d'appello, 2025-10-24, IT</w:t>
      </w:r>
    </w:p>
    <w:p>
      <w:r>
        <w:rPr>
          <w:b/>
        </w:rPr>
        <w:t xml:space="preserve">Quelle: </w:t>
      </w:r>
      <w:r>
        <w:t>https://mcp.opencaselaw.ch/entscheid/ti_gerichte_31.2025.7</w:t>
      </w:r>
    </w:p>
    <w:p>
      <w:r>
        <w:t>FR: TI_GERICHTE 31.2025.7 du 24 octobre 2025</w:t>
      </w:r>
    </w:p>
    <w:p>
      <w:r>
        <w:t>IT: TI_GERICHTE 31.2025.7 del 24 ottobre 2025</w:t>
      </w:r>
    </w:p>
    <w:p>
      <w:pPr>
        <w:pStyle w:val="Heading2"/>
      </w:pPr>
      <w:r>
        <w:t>Volltext</w:t>
      </w:r>
    </w:p>
    <w:p>
      <w:r>
        <w:t>Incarto n.31.2025.7</w:t>
      </w:r>
    </w:p>
    <w:p>
      <w:r>
        <w:t>31.2025.8</w:t>
      </w:r>
    </w:p>
    <w:p>
      <w:r>
        <w:t>BS/sc</w:t>
      </w:r>
    </w:p>
    <w:p>
      <w:r>
        <w:t>Lugano</w:t>
      </w:r>
    </w:p>
    <w:p>
      <w:r>
        <w:t>24 ottobre 2025</w:t>
      </w:r>
    </w:p>
    <w:p>
      <w:r>
        <w:t>In nomedella Repubblica e CantoneTicino</w:t>
      </w:r>
    </w:p>
    <w:p>
      <w:r>
        <w:t>Il vicepresidente</w:t>
      </w:r>
    </w:p>
    <w:p>
      <w:r>
        <w:t>del Tribunale cantonale delle assicurazioni</w:t>
      </w:r>
    </w:p>
    <w:p>
      <w:r>
        <w:t>Giudice Raffaele Guffi</w:t>
      </w:r>
    </w:p>
    <w:p>
      <w:r>
        <w:t>con redattore:</w:t>
      </w:r>
    </w:p>
    <w:p>
      <w:r>
        <w:t>Marco Bischof, cancelliere</w:t>
      </w:r>
    </w:p>
    <w:p>
      <w:r>
        <w:t>segretario:</w:t>
      </w:r>
    </w:p>
    <w:p>
      <w:r>
        <w:t>Gianluca Menghetti</w:t>
      </w:r>
    </w:p>
    <w:p>
      <w:r>
        <w:t>statuendo sui ricorsi del 29 giugno 2025 di</w:t>
      </w:r>
    </w:p>
    <w:p>
      <w:r>
        <w:t>1.RI 1(inc. 31.2025.7)</w:t>
      </w:r>
    </w:p>
    <w:p>
      <w:r>
        <w:t>2.RI 2(inc. 31.2025.8)</w:t>
      </w:r>
    </w:p>
    <w:p>
      <w:r>
        <w:t>contro</w:t>
      </w:r>
    </w:p>
    <w:p>
      <w:r>
        <w:t>le decisioni su opposizione del 5 giugno 2025 emanate da</w:t>
      </w:r>
    </w:p>
    <w:p>
      <w:r>
        <w:t>CO 1</w:t>
      </w:r>
    </w:p>
    <w:p>
      <w:r>
        <w:t>in materia di art. 52 LAVS</w:t>
      </w:r>
    </w:p>
    <w:p>
      <w:r>
        <w:t>in relazione alla fallita:FA 1</w:t>
      </w:r>
    </w:p>
    <w:p>
      <w:r>
        <w:t>ritenutoin fatto</w:t>
      </w:r>
    </w:p>
    <w:p>
      <w:r>
        <w:t>1.1.  La FA 1, con sede a __________ (precedentemente a __________ e poi a __________), è stata iscritta a Registro di commercio il 24 febbraio 2003 (cfr. estratto RC informatizzato agli atti).</w:t>
      </w:r>
    </w:p>
    <w:p>
      <w:r>
        <w:t>RI 1 è stato socio e presidente della gerenza della società dal 19 maggio 2011, mentre RI 2 nè stata socia e gerente dal 22 dicembre 2006 sino alla dichiarazione di fallimento della stessa (24 maggio 2023), entrambi con diritto di firma individuale (cfr. estratto RC informatizzato in doc. 8 se non diversamente indicato, i documenti citati fanno riferimento allinc. 31.2025.7).</w:t>
      </w:r>
    </w:p>
    <w:p>
      <w:r>
        <w:t>1.2.  La società è stata affiliata alla Cassa CO 1 (di seguito: Cassa) quale datrice di lavoro.</w:t>
      </w:r>
    </w:p>
    <w:p>
      <w:r>
        <w:t>Non avendo la società versato integralmente i contributi paritetici, (almeno) dal marzo 2022 la Cassa ha dovuto sistematicamente diffidarla e precettarla dal mese di agosto 2022 (cfr. specchietti dellevoluzione del debito contributivo per gli anni 2022 e 2023; doc. 4 e 5).</w:t>
      </w:r>
    </w:p>
    <w:p>
      <w:r>
        <w:t>Con decisione del 24 maggio 2023 il Pretore del Distretto di __________ ha pronunciato il fallimento in via ordinaria della società per il giorno successivo (pubblicazione FUSC del 31 maggio 2023).</w:t>
      </w:r>
    </w:p>
    <w:p>
      <w:r>
        <w:t>1.3.  Con scritto del 7 novembre 2023 la Cassa ha insinuato allUF di __________ un credito (in 2a classe) di complessivi fr. 25374 relativo ai contributi paritetici insoluti per gli anni 2021-2023 (doc. 7).</w:t>
      </w:r>
    </w:p>
    <w:p>
      <w:r>
        <w:t>Con scritto del 23 maggio 2024 lUF di __________ ha comunicato alla Cassa che non era possibile indicare se vi saranno dividendi. Nella successiva email del 21 novembre 2024 lamministrazione del fallimento ha in seguito comunicato chenon sono previsti dividendi per i creditori (doc. 3/A e B).</w:t>
      </w:r>
    </w:p>
    <w:p>
      <w:r>
        <w:t>1.4.  Constatato di aver subito un danno, con decisioni del 28 febbraio 2025, confermate con decisioni su opposizione del 5 maggio 2025, la Cassa ha chiesto a RI 1 e RI 2 il risarcimento ex art. 52 LAVS di fr. 13'628,10 per contributi paritetici non soluti per gli anni 2022 e 2023 (docc. 1 e 1 inc. 31.2025.8). Per i contributi non soluti del 2021 la Cassa aveva già avviato una procedura ex art. 52 LAVS (cfr. consid. 2.3).</w:t>
      </w:r>
    </w:p>
    <w:p>
      <w:r>
        <w:t>1.5.  Con due ricorsi in oggetto RI 1 e RI 2, rappresentati dallavv. RA 1, hanno contestato le succitate decisioni di opposizione, postulandone lannullamento. Chiedono altresì lemissione di una nuova decisione di risarcimentocon la deduzione dellammontare che il fallimento della FA 1 dichiara di rimborsare.</w:t>
      </w:r>
    </w:p>
    <w:p>
      <w:r>
        <w:t>I ricorrenti non contestano la loro responsabilità ex art. 52 LAVS. Contestano tuttavia lentità del danno fatto valere nelle decisioni impugnate, sostenendo che il credito contributivo insinuato nella procedura fallimentare risulterà con ogni probabilità integralmente coperto dal dividendo. Ritengono inoltre che la Cassa avrebbe dovuto verificare con lUF leffettivo dividendo spettante e considerare la futura ripartizione, invece di basarsi su una generica conferma di assenza di dividendi.</w:t>
      </w:r>
    </w:p>
    <w:p>
      <w:r>
        <w:t>1.6.  Con le rispettive risposte di causa la Cassa ha chiesto la reiezione dei ricorsi, rinviando sostanzialmente alle motivazioni contenute nelle decisioni su opposizioni impugnate. Essa osserva che, a seguito della comunicazione del 21 novembre 2024 dellUF, dalla quale risultava che non erano previsti dividendi per i creditori, era tenuta ad avviare una procedura risarcitoria nei confronti degli ex organi della società per lintero debito contributivo. Precisa inoltre che, anche nelleventualità della corresponsione di un dividendo, lammontare del danno fatto valere nei confronti dei ricorrenti resterebbe invariato.</w:t>
      </w:r>
    </w:p>
    <w:p>
      <w:r>
        <w:t>1.7.  Con decreto del 6 agosto 2025 il Vicepresidente del TCA ha congiunto le cause.</w:t>
      </w:r>
    </w:p>
    <w:p>
      <w:r>
        <w:t>consideratoin diritto</w:t>
      </w:r>
    </w:p>
    <w:p>
      <w:r>
        <w:t>in ordine</w:t>
      </w:r>
    </w:p>
    <w:p>
      <w:r>
        <w:t>2.1.La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8C_855/2010 dell11 luglio 2011; 9C_211/2010 del 18 febbraio 2011).</w:t>
      </w:r>
    </w:p>
    <w:p>
      <w:r>
        <w:t>nel merito</w:t>
      </w:r>
    </w:p>
    <w:p>
      <w:r>
        <w:t>2.2.  Oggetto del contendere è sapere se i ricorrenti devono essere condannati al risarcimento ex art. 52 LAVS come dalle decisioni contestate.</w:t>
      </w:r>
    </w:p>
    <w:p>
      <w:r>
        <w:t>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w:t>
      </w:r>
    </w:p>
    <w:p>
      <w:r>
        <w:t>La giurisprudenza (cfr. in particolare DTF 132 III 523 consid. 4.6 pag. 530 con riferimenti) e la dottrina ammettono in maniera generale (tacitamente:"stillschweigend", cfr. Meyer, Die Rechtsprechung des Eidgenössischen Versicherungsgerichts zur Arbeitgeberhaftung, in: Temi scelti di diritto delle assicurazioni sociali, Basilea 2006, pag. 33 con riferimento) un nesso di causalità naturale e adeguata tra il comportamento colpevole e il danno subìto in seguito per mancato pagamento dei contributi (STF 9C_ 238/2017 del 5 luglio 2017 consid. 5.3.2 e 9C_394/2016 del 21 novembre 2016 consid. 5).</w:t>
      </w:r>
    </w:p>
    <w:p>
      <w:r>
        <w:t>Secondo l'art. 14 cpv. 1 LAVS (e gli artt. 34 segg. OAVS) al datore di lavoro spetta lobbligo (di diritto pubblico) di conteggiare e versare i contributi (Pratique VSI 1994 pag. 108 consid. 7a con riferimenti; DTF 114 V 221). Il venire meno a questo obbligo costituisce una violazione di prescrizioni ai sensi dellart. 52 LAVS e comporta il risarcimento integrale del danno (Pratique VSI 1993 pag. 84 consid. 2a; DTF 111 V 173 consid. 2, 108 V 186 consid. 1a e 192 consid. 2a; RCC 1985 pag. 646 consid. 3a e 650 consid. 2).</w:t>
      </w:r>
    </w:p>
    <w:p>
      <w:r>
        <w:t>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w:t>
      </w:r>
    </w:p>
    <w:p>
      <w:r>
        <w:t>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cpv. 2 dellart. 52 LAVS, entrato in vigore il 1. gennaio 2012, prevede chese il datore di lavoro è una persona giuridica, rispondono sussidiariamente i membri dellamministrazione e tutte le persone che si occupano della gestione o della liquidazione. Se più persone sono responsabili dello stesso danno, esse rispondono solidalmente per lintero danno.</w:t>
      </w:r>
    </w:p>
    <w:p>
      <w:r>
        <w:t>Il Tribunale federale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w:t>
      </w:r>
    </w:p>
    <w:p>
      <w:r>
        <w:t>2.5.  Costituiscono elementi del danno risarcibile, tra laltro, i contributi AVS/AI/IPG, sia per la parte del salariato che quella del datore di lavoro (STF H 166/02 del 28 ottobre 2002 consid. 4.1; STCA 31.2002.10 del 10 giugno 2002 consid. 2.3.;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Non sono invece computabili le multe inflitte dalla Cassa (STF H 142/03 del 19 agosto 2003, H 194/96 del 4 novembre 1996).</w:t>
      </w:r>
    </w:p>
    <w:p>
      <w:r>
        <w:t>Secondo costante giurisprudenza, spetta allamministrazione documentare la propria pretesa, mediante estratti, salari, fatture ecc. (RDAT II 1995 pag. 396).</w:t>
      </w:r>
    </w:p>
    <w:p>
      <w:r>
        <w:t>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w:t>
      </w:r>
    </w:p>
    <w:p>
      <w:r>
        <w:t>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 e segg. OAVS; RCC 1985 pag. 607 consid. 5a).</w:t>
      </w:r>
    </w:p>
    <w:p>
      <w:r>
        <w:t>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w:t>
      </w:r>
    </w:p>
    <w:p>
      <w:r>
        <w:t>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w:t>
      </w:r>
    </w:p>
    <w:p>
      <w:r>
        <w:t>2.7.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w:t>
      </w:r>
    </w:p>
    <w:p>
      <w:r>
        <w:t>2.8.  Ai sensi della giurisprudenza del TF si deve ammettere una negligenza grave del datore di lavoro quando questi abbia trascurato di fare quanto doveva apparire importante a qualsiasi persona ragionevolmente posta nella stessa situazione.</w:t>
      </w:r>
    </w:p>
    <w:p>
      <w:r>
        <w:t>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posto che la delega delle competenze non permette, di per sé, di sottrarsi alla responsabilità sussidiaria degli organi ex art. 52 LAVS (Kieser, Rechtsprechung des Bundesgerichts zum Sozialversicherungsrecht, in: RBS 2020, n. 44 con rinvio alla STF 9C_145/2010 del 15 giugno 2010 consid. 5.4.). La giurisprudenza ritiene che, di regola, la mancata deduzione e relativo trasferimento alla Cassa dei contributi configura una grave negligenza (DTF 108 V 186 segg. consid. 1b).</w:t>
      </w:r>
    </w:p>
    <w:p>
      <w:r>
        <w:t>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(DTF 121 V 244 consid. 4b; 108 V consid. 1b e 193 consid. 2b).</w:t>
      </w:r>
    </w:p>
    <w:p>
      <w:r>
        <w:t>Secondo la giurisprudenza, incorrono in un agire approssimativo i nuovi amministratori che prima di assumere la carica non verificano nel dettaglio ogni aspetto economico, soprattutto per quanto attiene al pagamento dei contributi sociali. Un organo entrato a far parte del CdA di una SA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(STCA 31.2016.13 del 13 aprile 2017 con rinvii giurisprudenziali).</w:t>
      </w:r>
    </w:p>
    <w:p>
      <w:r>
        <w:t>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del 28 gennaio 2004 nella causa A.F., STCA 31.2003.18 consid. 2.10.2. con riferimenti e DTF 109 V 86 consid. 6.; Frey/Mosimann/Bollinger, op. cit., n. 15 ad art. 52 LAVS) o che non benefici di alcun diritto di firma (STFA 17 ottobre 1996 nella causa M.G.), non costituiscono in sé motivi liberatori o di discolpa. Nella STFA H 13/03 del 21 maggio 2003 lAlta Corte ha ribadito che un amministratore non può liberarsi della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lamministrazione formale dalle sue responsabilità (STFA H 195/92 del 30 marzo 1993 e STCA 31.1994.4 del 7 agosto 1996 consid. 2.9.).</w:t>
      </w:r>
    </w:p>
    <w:p>
      <w:r>
        <w:t>La passività a dispetto della conoscenza (eventuale) di mancati pagamenti di contributi deve essere considerata uninosservanza per negligenza grave delle prescrizioni (RCC 1989 pag. 115).</w:t>
      </w:r>
    </w:p>
    <w:p>
      <w:r>
        <w:t>2.9.  Va rilevato che RI 1 e RI 2, accettando rispettivamente i mandati di presidente della gerenza e di socia gerente di una Sagl, hanno assunto tutti gli oneri che da tale funzione derivano.</w:t>
      </w:r>
    </w:p>
    <w:p>
      <w:r>
        <w:t>2.11.Il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eliminando il principio della gratuità generalizzata di cui all'art. 61 lett. a LPGA, il legislatore federale non ha voluto imporre in maniera generalizzata per tutta la Svizzera l'applicazione di spese giudiziarie al di fuori del campo di applicazione dell'art. 61 lett. fbisLPGA,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w:t>
      </w:r>
    </w:p>
    <w:p>
      <w:r>
        <w:t>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pagamento.(STF 8C_265/2021 del 21 luglio 2021).</w:t>
      </w:r>
    </w:p>
    <w:p>
      <w:r>
        <w:t>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w:t>
      </w:r>
    </w:p>
    <w:p>
      <w:r>
        <w:t>2.12.In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r>
        <w:t>Per questi motivi</w:t>
      </w:r>
    </w:p>
    <w:p>
      <w:r>
        <w:t>dichiara e pronuncia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