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31.2025.5 vom 25. August 2025</w:t>
      </w:r>
    </w:p>
    <w:p>
      <w:r>
        <w:t>TI Tribunale d'appello, 2025-08-25, IT</w:t>
      </w:r>
    </w:p>
    <w:p>
      <w:r>
        <w:rPr>
          <w:b/>
        </w:rPr>
        <w:t xml:space="preserve">Quelle: </w:t>
      </w:r>
      <w:r>
        <w:t>https://mcp.opencaselaw.ch/entscheid/ti_gerichte_31.2025.5</w:t>
      </w:r>
    </w:p>
    <w:p>
      <w:r>
        <w:t>FR: TI_GERICHTE 31.2025.5 du 25 août 2025</w:t>
      </w:r>
    </w:p>
    <w:p>
      <w:r>
        <w:t>IT: TI_GERICHTE 31.2025.5 del 25 agosto 2025</w:t>
      </w:r>
    </w:p>
    <w:p>
      <w:pPr>
        <w:pStyle w:val="Heading2"/>
      </w:pPr>
      <w:r>
        <w:t>Erwägungen</w:t>
      </w:r>
    </w:p>
    <w:p>
      <w:r>
        <w:rPr>
          <w:b/>
        </w:rPr>
        <w:t>E. 1</w:t>
      </w:r>
    </w:p>
    <w:p>
      <w:r>
        <w:t>gennaio 2003 – del nuovo art. 52 LAVS (DTF 129 V 11 = Pratique VSI 2003 pag. 79 segg.). Nella fattispecie in esame, con riferimento alla menzionata giurisprudenza, a seguito del fallimento della FA 1 del 9 aprile 2024 (cfr. supra consid. 1.2. in fine) – che segna l’insolvenza della società e quindi l’insorgenza del danno – la Cassa ha rettamente chiesto (in via sussidiaria) al ricorrente, quale amministratore unico con diritto di firma individuale della fallita dal 1986, il risarcimento ex art. 52 LAVS per i contributi paritetici non versati dalla società. 2.3.  Il ricorrente, pur non contestando – a ragione (cfr. supra consid. 2.2.) – di per sé la sua responsabilità sussidiaria quale organo della fallita – rimprovera alla Cassa di aver avviato prematuramente la procedura di risarcimento ex art. 52 LAVS e di non averla sospesa in attesa dell’esito della procedura fallimentare, sostenendo che gli attivi della società fallita, in particolare l’immobile di cui è prevista la vendita all’asta pubblica alla fine dell’anno corrente, sono sufficienti a tacitare integralmente la Cassa per l’importo di cui alla decisione impugnata (I, p.ti 4.-11., sottolineature del redattore; doc. 2, pag. 3): " La decisione [su opposizione, n.d.r.] della Cassa […] è troppo sbrigativa e si fonda su degli elementi che, salvo errore da parte nostra, ci risultano errati , come pure perché v’è una propensione, da parte dell’ amministrazione del fallimento stessa , a prolungare indebitamente la procedura di liquidazione a danno di tutti i creditori e, conseguentemente, anche nei confronti del qui ricorrente. La Cassa ha sostenuto, fondandosi su delle sentenze del TF e del TCA che, in caso di incertezza sul dividendo della procedura fallimentare, per meglio rispondere agli obiettivi del diritto risarcitorio della Cassa e al senso di equità, occorre far sopportare all’autore del danno, anziché al danneggiato, l’incertezza sul dividendo finale. Egualmente, la cassa ha ritenuto che a fronte di attivi per CHF 1'685’000.--, si dovrebbero tacitare il creditore ipotecario ed altri in prima classe, per complessivi CHF 1'300'000.--, con conseguente perdita da parte della Cassa. Invero, siamo a conoscenza delle sentenze del TF e del TCA, che sono state richiamate dalla Cassa, sbrigativamente, e senza analizzare a fondo il tema del contendere. Nella STF 9C_195/2009 del 2 febbraio 2010, l’Alta Corte precisa che occorre far sopportare il rischio del danno alla persona responsabile e non al danneggiato l’incertezza sul dividendo finale, per ragioni legate all’osservanza dei termini di prescrizione . Se questo è il punto controverso, il signor RI 1 è disponibile a rinunciare a sollevare l’eccezione della prescrizione […] per una durata di 10 anni […], e meglio come […] dalla dichiarazione allegata […]. Di conseguenza, non vi dovrebbero essere ostacoli per attendere l’esito della vendita del capannone industriale nel corso della procedura di liquidazione del fallimento . […] siamo a conoscenza che […] __________ ha formulato un’offerta all’Ufficio fallimento per acquistare la part. __________ RFD […] [di proprietà della società fallita, n.d.r.] a trattative private per CHF 1'600'000.--. Inconcepibilmente, il funzionario preposto ha risposto all’offerente che si doveva attendere e che l’immobile sarebbe stato venduto all’asta . […] il funzionario avrebbe dovuto chiedere al signor __________ di formalizzare la sua offerta in forma scritta […]. Nell’ambito della liquidazione sommaria, i beni della massa possono essere venduti a cura dell’amministrazione ai pubblici incanti o a trattative private (art. 256 cpv. 1 LEF). Per l’art. 256 cpv. 3 LEF i beni di cospicui valore, come i fondi, possono essere venduti a trattative private, purché un interessato formuli una proposta e che la stessa venga comunicata a tutti i creditori, i quali sono tenuti, entro un termine fissato dall’UF stesso, a di presentare delle offerte più alte […]. Naturalmente, occorre altresì raccogliere il consenso dei creditori pignoratizi […]. Nel caso in esame sarebbe stolido vendere l’immobile all’asta, ove le offerte iniziali sono estremamente basse , anziché […] accogliere la proposta di vendita a trattative private di una persona interessata, che ha offerto un prezzo sostanzialmente identico al valore di mercato (1.6 mio). […] siamo stupiti delle modalità con cui l’Ufficio fallimenti sta trattando la procedura […]. Per quanto riguarda l’ammontare degli attivi e dei passivi […] A noi risulta che la banca (creditrice ipotecaria) vanta un credito di CHF 626'500.--. Le restrizioni della facoltà di disporre che risultano dall’estratto del Registro fondiario, non sono altro che crediti che vanno inseriti in terza classe, in quanto prevalentemente di natura fiscale […]. Fra queste annotazioni […] risultano pure i crediti insinuati dall’AVS, prima che fosse aperta la procedura fallimentare. Di conseguenza, i creditori pignoratizi dovrebbero essere solo quelli garantiti dalle cartelle ipotecarie in possesso della banca. Per quanto riguarda i crediti in prima classe, siamo stupiti che essi ammontano a CHF 662'000 .--. Fra questi crediti vi sono notoriamente quelli che discendono dai rapporti di lavoro, ma il qui ricorrente è certo che tutti i salari sono stati pagati, ad eccezione di quelli precedenti una decina di giorni la pronuncia del fallimento . Cosicché, questi crediti non dovrebbero essere così elevati come pretende il funzionario dell’UF . Meglio sarebbe capire in che modo è composta la graduatoria […] che, a distanza di oltre un anno dall’apertura del fallimento, non si conosce ancora come è composta . In buona sostanza riteniamo che non vi siano crediti privilegiati di prima classe per più di CHF 10'000.--/30'000.--, e non per CHF 662'000.--. Se stanno così le cose, a fronte di attivi di ca. 1'650'000.--, vi dovrebbe essere con certezza un importo sufficiente per soddisfare tutte le pretese dei creditori di seconda classe e, quindi, anche quelle della Cassa . […] ” Secondo la giurisprudenza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ma la decisione di risarcimento può essere stabilita in modo che gli autori del danno siano chiamati a risarcire la totalità delle somme sottratte alla Cassa. In compenso, l’amministrazione cederà loro l’eventuale dividendo nel fallimento (DTF 113 V 184 consid. 3b; STCA 31.1999.00026/31.1999.00036 del 20 ottobre 2000; STCA 31.2015.15 del 18 marzo 2019). L’Alta Corte, avuto riguardo ad una domanda di sospensione della procedura risarcitoria in attesa di conoscere l’esito delle trattative in corso, nella STF 9C_195/2009 del 2 febbraio 2010 l’ha ritenuta manifestamente infondata, rammentando come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 rilevando come “ del resto, corrisponde meglio agli obiettivi del diritto risarcitorio e al senso di equità fare sopportare all’autore del danno anziché al danneggiato, l’incertezza sul dividendo finale (DTF 113 V 180 consid. 3b pag. 184) ”. Circa il fatto che la Cassa non è tenuta ad attendere l’esito della procedura di fallimento vedasi le STCA 31.2022.4 del 4 aprile 2022 consid. 2.2., STCA 31.2020.11 del 7 ottobre 2020 consid. 2.2., 31.2019.22 del 19 maggio 2020 consid. 2.3., 31.2018.15 del 18 marzo 2019 consid. 2.2., 31.2018.4-5 del 5 dicembre 2018 consid. 1.5. e 2.3. e la 31.2000.30 del 14 ottobre 2002 consid. 2.1.). In caso di fallimento, la cassa conosce sufficientemente il suo pregiudizio, in via di massima, quando è informata del suo collocamento nella liquidazione. La cassa ha, di regola, conoscenza del danno subito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per il caso della sospensione della procedura di fallimento per mancanza di attivi cfr. anche DTF 126 V 443, 128 V 11; STCA 31.2002.50 del 22 ottobre 2003, 31.2019.13 del 20 gennaio 2010). Questi principi si applicano anche al fallimento con procedura sommaria poiché la decisione che dispone la liquidazione sommaria non consente ancora, da sola, di conoscere il danno (DTF 129 V 193 consid. 2.3. pag. 195 con riferimenti; STCA 31.2021.12 dell’11 novembre 2021 consid. 2.2., 31.2021.10 del 13 settembre 2021 consid. 2.2., 31.2019.22 del 19 maggio 2020 consid. 2.3.). La cassa può quindi avviare una procedura ex art. 52 LAVS non appena viene a conoscenza del danno anche se vi è incertezza circa il suo ammontare esatto e/o sull’eventuale dividendo. Tale conoscenza, come accennato, può precedere il deposito della graduatoria, ad esempio quando l’amministrazione del fallimento comunica alla cassa che l’eventuale dividendo non sarà sufficiente a tacitare integralmente i creditori della sua classe. In concreto la Cassa, vista l’insolvenza del datore di lavoro a motivo del fallimento della FA 1 (cfr. supra consid. 1.2. in fine), dopo aver insinuato all’UF di __________ crediti (in 2a classe) per complessivi fr. 505'787.30 (cfr. supra consid. 1.3.), è stata resa edotta dall’UF di __________ (quale amministratore del fallimento in procedura sommaria) con scritto del 21 novembre 2024 che “ ad oggi, gli attivi a disposizione non sono sufficienti a coprire i creditori notificati di seconda classe ”. Con ulteriore scritto del 7 aprile 2025 l’UF di __________ ha comunicato che, oltre ai crediti garantiti da pegno per complessivi fr. 638'158.94, i crediti di 1a classe ammontavano a fr. 662'084.48 e, rispondendo alla domanda della Cassa circa lo “ stadio di eventuali trattative per la vendita dello stabile di proprietà della società e […] aspettative sul relativo importo ”, ha osservato che esso è “ Ancora da definire, verosimilmente l’immobile verrà venduto tramite asta pubblica verso la fine dell’anno corrente ” (doc. 5). In sintesi, la Cassa è venuta a conoscenza del danno il 21 novembre 2024, ossia prima del deposito della graduatoria, e, conformemente alla citata giurisprudenza, ha avviato la procedura di risarcimento danni ex art. 52 LAVS nei confronti dell’insorgente, emanando la decisione di risarcimento del 28 febbraio 2025 e la decisione su opposizione del 29 febbraio 2025, non dovendo attendere l’esito della procedura di fallimento (e quindi la conoscenza dell’esatto ammontare del danno). Riguardo alla procedura di fallimento, va qui rilevato che né la Cassa né il giudice delle assicurazioni sociali e tantomeno le parti possono sostituirsi all’UF, quale amministratore della procedura di fallimento in via sommaria, nella determinazione della massa fallimentare, della sua composizione e delle tempistiche (STCA 31.2022.20 del 28 ottobre 2022 consid. 2.9., 31.2023.2+3 del 21 agosto 2023 consid. 2.3.1.2. confermata nella STF 9C_594/2023 dell’11 dicembre 2024 consid. 4.2.2. in fine), atteso che l’operato dell’UF può essere eventualmente contestato tramite ricorso all’autorità di vigilanza (art. 17 LEF). Ciò significa che le doglianze dell’insorgente relative alle modalità “ di come l’Ufficio fallimenti sta trattando la procedura ” sono irrilevanti ai fini del giudizio. A titolo abbondanziale si osserva che quanto addotto da RI 1 circa i crediti di 1a classe (che a suo modo di vedere si situano tra fr. 10'000 e fr. 30'000), è rimasto allo stadio di mero parlato, il ricorrente non avendo prodotto alcuna prova in tal senso. Per tacere dell’ipotizzato prezzo di vendita dell’immobile di proprietà della società fallita, la cui vendita all’asta pubblica – “ ove le offerte iniziali sono estremamente basse ” – è stata prospettata dall’UF di __________ per la fine dell’anno corrente. Inconferente risulta altresì la dichiarazione di rinuncia a sollevare l’eccezione di prescrizione prodotta con il gravame (I, allegato A</w:t>
      </w:r>
    </w:p>
    <w:p>
      <w:r>
        <w:rPr>
          <w:b/>
        </w:rPr>
        <w:t>E. 2</w:t>
      </w:r>
    </w:p>
    <w:p>
      <w:r>
        <w:t>), in quanto la Cassa non ha alcun obbligo di attendere di conoscere l’esatto ammontare dell’eventuale dividendo per poter procedere nei confronti dell’insorgente ex art. 52 LAVS, essendo sufficiente, come sopra illustrato, quanto comunicatole dall’UF di __________ con scritto del 21 novembre 2024. In conclusione, alla chiusura della procedura di fallimento sarà possibile determinare in modo definitivo l’ammontare esatto dell’eventuale dividendo del singolo creditore. Fino ad allora l’incertezza sull’ammontare esatto del danno e sull’eventuale dividendo incombe sull’insorgente quale causa del danno, non sul danneggiato, ragione per cui la Cassa non può e non deve attendere la chiusura della procedura fallimentare. Un’eventuale eccedenza potrà essere ceduta a RI 1 nella misura in cui egli avrà risarcito più di quanto dovuto, come previsto dalla citata giurisprudenza (cfr. le già citate STCA 31.2022.4 consid. 2.2. con rinvii giurisprudenziali e STF 9C_594/2023 consid. 4.2.3. con rinvii giurisprudenziali). 2.4.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In concreto, la Cassa ha allegato alla decisione di risarcimento 28 febbraio 2025 i conteggi riepilogativi determinanti per i contributi AVS/AI/IPG/AD e AF relativi al periodo 1. gennaio 2020 - 9 aprile 2024 per complessivi fr. 487'404.15 (fr. 137'863.50 per il periodo dal 1. gennaio al 31 dicembre 2020; fr. 178'599.30 per il periodo dal 1. gennaio al 31 dicembre 2021; fr. 51'857.65 per il periodo dal 1. gennaio al 31 dicembre 2022; fr. 97'170.10 per il periodo dal 1. gennaio al 31 dicembre 2023; fr. 18'881.90 per il periodo dal 1. gennaio al 31 marzo 2024 e fr. 3'031.70 quali contributi su salari rivendicati per il periodo dal 1. gennaio al 9 aprile 2024). La Cassa ha altresì prodotto le tabelle che illustrano l’evoluzione del saldo contributivo nel surriferito periodo e la distinta dei salari rivendicati (doc. 3 e docc. 4 A-E ). RI 1 contesta indirettamente i contributi paritetici da ricondurre ai salari dovuti ma non versati, sostenendo di essere “ certo che tutti i salari sono stati pagati, ad eccezione di quelli precedenti una decina di giorni la pronuncia del fallimento ” (I, p.to 10.). Si rileva che l’insorgente – che neppure si confronta con la documentazione contabile prodotta dalla Cassa – non ha prodotto alcuna prova a supporto di quanto addotto, disattendendo manifestamente l’obbligo di collaborazione delle parti. Pertanto, la Cassa ha debitamente documentato l’ammontare della pretesa risarcitoria conformemente alla surriferita giurisprudenza.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e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2.7.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(DTF 121 V 244 consid. 4b; 108 V consid. 1b e 193 consid. 2b). Secondo la giurisprudenza, incorrono in un agire approssimativo i nuovi amministratori che prima di assumere la carica non verificano nel dettaglio ogni aspetto economico, soprattutto per quanto attiene al pagamento dei contributi sociali. Un organo entrato a far parte del CdA di una SA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STCA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31.1994.4 del 7 agosto 1996 consid. 2.9.). La passività a dispetto della conoscenza (eventuale) di mancati pagamenti di contributi deve essere considerata un’inosservanza per negligenza grave delle prescrizioni (RCC 1989 pag. 115). 2.8.  Accettando il mandato di amministratore unico con diritto di firma individuale di una società anonima (cfr. supra consid. 1.1.), RI 1 ha assunto tutti gli obblighi che da tale funzione derivano (cfr. STF H 171/02 del 2 dicembre 2003 e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 1989 pag. 116; cfr. anche STF 29 agosto 1997 nella causa M.; cfr. anche (cfr. Frey/Mosimann/Bollinger, op. cit., n. 14 e seg. ad art. 52 LAVS e Kieser, op. cit., n. 44 ad art. 52 LAVS).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In casu il ricorrente non ha mai contestato la sua responsabilità sussidiaria quale amministratore unico della FA 1 per il credito contributivo che, a seguito del fallimento della società, è diventato il credito risarcitorio per il quale la Cassa ha avviato la procedura di risarcimento ex art. 52 LAVS. Pertanto, all’insorgente non può che essere imputata (almeno) una negligenza grave. 2.9.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2.2., 2.3., 2.4. e 2.8.), non si rileva alcun motivo di giustificazione o di discolpa ai sensi della surriferita giurisprudenza, né il ricorrente se ne prevale. 2.10.  Come accennato (cfr. supra consid. 1.5.), il ricorrente – con l’intento di dimostrare l’inopportunità della decisione di risarcimento ex art. 52 LAVS – ha richiesto l’audizione testimoniale del funzionario dell’UF di __________ che con scritto del 21 novembre 2024 ha comunicato alla Cassa che “ gli attivi a disposizione non sono sufficienti a coprire i creditori notificati in seconda classe ” e che con scritto del 7 aprile 2025 ha comunicato i crediti per classe (cfr. supra consid. 1.3. e 1.5.).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 Cost., cfr. DTF 124 V 94 consid. 4b). Nel caso in esame e per i motivi sopra illustrati (cfr. supra consid. 2.2. e 2.3.), la documentazione agli atti è sufficiente per statuire nella presente vertenza e quindi non è necessario dare seguito alla succitata richiesta di assunzione prove, la determinazione della massa fallimentare, della sua composizione e delle tempistiche della procedura di fallimento essendo prerogativa esclusiva dell’UF di __________, già espressosi a tal proposito con scritto del 21 novembre 2024. Eventuali contestazioni relative all’operato dell’UF di __________ dovranno essere oggetto dei rimedi giuridici previsti dal diritto esecutivo. 2.11.  Visto tutto quanto precede, questo Tribunale deve concludere che il ricorrente, non avendo adempiuto agli obblighi di diligenza e vigilanza e avendo così violato le prescrizioni per negligenza grave, in assenza di motivi di giustificazione e di discolpa ai sensi della citata giurisprudenza deve assumersi le conseguenze del mancato pagamento dei contributi paritetici della fallita FA 1 relativi al periodo 1. gennaio 2020 - 9 aprile 2024 per complessivi fr. 487'404.15. Confermata la responsabilità ex art. 52 LAVS del ricorrente, la decisione impugnata merita pertanto conferma mentre il ricorso va integralmente respinto</w:t>
      </w:r>
    </w:p>
    <w:p>
      <w:r>
        <w:rPr>
          <w:b/>
        </w:rPr>
        <w:t>E. 2.12</w:t>
      </w:r>
    </w:p>
    <w:p>
      <w:r>
        <w:t>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w:t>
      </w:r>
    </w:p>
    <w:p>
      <w:r>
        <w:rPr>
          <w:b/>
        </w:rPr>
        <w:t>E. 2.13</w:t>
      </w:r>
    </w:p>
    <w:p>
      <w:r>
        <w:t>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