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31.2024.8 vom 25. Oktober 2024</w:t>
      </w:r>
    </w:p>
    <w:p>
      <w:r>
        <w:t>TI Tribunale d'appello, 2024-10-25, IT</w:t>
      </w:r>
    </w:p>
    <w:p>
      <w:r>
        <w:rPr>
          <w:b/>
        </w:rPr>
        <w:t xml:space="preserve">Quelle: </w:t>
      </w:r>
      <w:r>
        <w:t>https://mcp.opencaselaw.ch/entscheid/ti_gerichte_31.2024.8</w:t>
      </w:r>
    </w:p>
    <w:p>
      <w:r>
        <w:t>FR: TI_GERICHTE 31.2024.8 du 25 octobre 2024</w:t>
      </w:r>
    </w:p>
    <w:p>
      <w:r>
        <w:t>IT: TI_GERICHTE 31.2024.8 del 25 ottobre 2024</w:t>
      </w:r>
    </w:p>
    <w:p>
      <w:pPr>
        <w:pStyle w:val="Heading2"/>
      </w:pPr>
      <w:r>
        <w:t>Regeste</w:t>
      </w:r>
    </w:p>
    <w:p>
      <w:r>
        <w:t>Ricorso (parzialmente accolto per versamento nel frattempo effettuato). Responsabilità dell’erede dell’AU della fallita SA (violazione art. 35 cpv. 2 OAVS). Stato di salute dell’AU non assurge a motivo di discolpa</w:t>
      </w:r>
    </w:p>
    <w:p>
      <w:pPr>
        <w:pStyle w:val="Heading2"/>
      </w:pPr>
      <w:r>
        <w:t>Erwägungen</w:t>
      </w:r>
    </w:p>
    <w:p>
      <w:r>
        <w:rPr>
          <w:b/>
        </w:rPr>
        <w:t>E. 2</w:t>
      </w:r>
    </w:p>
    <w:p>
      <w:r>
        <w:t>OAVS da parte di †__________ (doc. 3): “[…] la società, dopo un periodo in cui non ha versato salari (anni 2018 e 2019), non ha mai comunicato alla Cassa alcuna informazione per una corretta valutazione di congrui acconti, ritenuto che ha nuovamente occupato un salariato nel periodo da marzo ad agosto 2020 per CHF 19'200.00 […] e lo stesso amministratore unico […] con uno stipendio di CHF 12'000.00 nel periodo da febbraio a maggio 2020. Solamente con la compilazione della dichiarazione dei salari, inoltrata alla Cassa il 23 febbraio 2021 (doc. A), la società ha notificato tali retribuzioni. Successivamente all’emissione del conguaglio 2020, il signor __________ ha richiesto il 14 luglio 2021 di poter saldare lo scoperto in 10 rate (doc. B). La dilazione concessa il 27 luglio 2021 (doc. C) è stata rispettata solamente in ragione di 2 rate […]. Occorre in aggiunta sottolineare che in base alla giurisprudenza si può pretendere da un organo formale con una specifica formazione economica che disponga di sufficienti conoscenze gestionali e contabili tali da consentirgli di comprendere tempestivamente l’evolversi della situazione finanziaria e di agire di conseguenza (STCA del 6 settembre 2021, inc. n. 31.2021.6, consid. 2.7.4. e relativi riferimenti). Nel caso in esame il signor __________, oltre ad essere stato amministratore unico della società già dal 2013, risulta essere ostato organo formale di numerose società (cfr. a titolo di esempio estratto online del Registro di commercio TI e __________). In considerazione di quanto precede il comportamento tenuto dal defunto […] ne impegna la responsabilità ex art. 52 LAVS.” Quanto allegato dalla Cassa trova riscontro nella documentazione agli atti (doc. 3, allegati A-D; docc. 4 e 5) e, di per sé, non è stato contestato in questa sede. Ne discende che, accettando il mandato di amministratore unico, †__________ ha assunto tutti gli oneri che da tale funzione derivano, incluso l’obbligo di comunicare alla Cassa tutti i mutamenti importanti e di versare i contributi paritetici calcolati sulla massa salariale (tardivamente) dichiarata. Come visto (cfr. supra consid. 2.2., 2.4. e 2.5.), la violazione dell’art. 35 cpv. 2 OAVS, oltre al mancato versamento dei contributi paritetici, costituisce una grave violazione del dovere di diligenza cui il citato defunto era tenuto quale organo della società, ragione per cui la Cassa ha rettamente presunto un (in)agire (perlomeno) gravemente negligente. 2.7.1.  La ricorrente sostiene che †__________ abbia tardato ad inviare la dichiarazione dei salari ed omesso il versamento dei contributi paritetici a motivo della sua precaria situazione valetudinaria, quest’ultimo avendo contratto un tumore (diagnosticato nel luglio 2020) determinante una scemata capacità cognitiva, un’incapacità lavorativa completa ed infine il decesso. Tali circostanze, soggiunge ella, ostano a qualsivoglia rimprovero nei confronti dell’allora amministratore unico, il quale a mente dell’insorgente era impedito a svolgere la sua funzione (I, p.ti 1.-3.). A supporto della sua tesi, ella ha prodotto l’estratto dell’atto di morte (doc. 2, allegato E) l’avviso di malattia del 1. agosto 2020 alla __________ con il relativo foglio d’accompagnamento (I, allegato D), il rapporto del 12 novembre 2021 della curante dr.ssa __________ (specialista in oncologia) e la richiesta (accolta) di svincolo dal segreto professionale per pazienti deceduti (VII, allegati E 1-2 ). Secondo la giurisprudenza, in generale la malattia o l’invalidità dell’organo responsabile possono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diversi riferimenti). Questo Tribunale ha già avuto modo di precisare che un amministratore non può essere esentato dalle proprie responsabilità nel caso in cui, malgrado lo stato di salute , avrebbe potuto e dovuto provvedere a nominare un suo sostituto o, se ciò non fosse stato possibile, a rassegnare le sue dimissioni (in argomento vedi le STCA 31.2015.14 del 27 aprile 2016 consid. 2.9; 31.2012.14 del 25 aprile 2013 consid. 2.8; 31.2012.13 del 28 marzo 2013 consid. 2.9; 31.2005.18 del 18 luglio 2006; 31.2005.19 del 28 giugno 2006 e 31.1999.78-80 + 31.2000.1 del 22 febbraio 2001 consid. 2.8.1 tutte con riferimenti). La prova della presenza di motivi giustificativi incombe al datore di lavoro (STF 9C_238/2017 del 5 luglio 2017 consid. 5.3.2 che rinvia anche al consid. 4.1 della succitata STF 9C_394/2016 del 21 novembre 2016), quindi, nel presente caso, in primis all’organo chiamato (sussidiariamente) a risarcire il danno. A seguito del decesso di quest’ultimo, l’onere della prova grava ai membri della comunione ereditaria (cfr. supra consid. 2.2. in fine). Nel caso concreto, pur senza misconoscere la grave patologia che ha condotto dopo un percorso di cure invasive al decesso dell’insorgente, da un attento esame degli atti questo Giudice non può concludere che il suo stato di salute sia stato tale da assurgere a motivo di discolpa conformemente alla succitata giurisprudenza. Questo per i seguenti motivi. †__________ ha assunto la funzione di amministratore unico della DT 1 il 4 luglio 2013, restando in carica fino al 2 gennaio 2022, giorno del decesso. Le surriferite refertazioni si riferiscono all’intervallo dal 6 luglio 2020 (giorno della diagnosi) al 23 agosto 2024 (giorno in cui il medico cantonale ha concesso lo svincolo dal segreto professionale “ Per risolvere questioni assicurative ”). Per quanto attiene all’avviso di malattia, trattasi di una generica comunicazione, senza indicazioni sull’autore, comprendente la data dell’annuncio (1. agosto 2020), i dati personali dell’amministratore unico (generalità ed estremi), la diagnosi di cancro, il fatto che il trattamento fosse iniziato il 6 luglio 2020 e un’incapacità lavorativa completa da tale data e continua. Il relativo foglio d’accompagnamento nulla aggiunge rispetto a quanto precede. Circa il rapporto del 12 novembre 2021 allestito dalla curante oncologa, esso riporta la diagnosi di “ adenocarcinoma G2 del retto basso con metastasi linfonodali, metastasi epatica e metastasi ossee […]”, la terapia oncologica, la situazione a novembre 2021 di sofferenza “ per dolori a livello del retto e bacino a destra, inappetenza e stanchezza […]”, la proposta terapeutica e le diagnosi collaterali, come pure uno scritto della curante ad una collega in cui viene riferito che “ il beneficio [del nuovo trattamento, n.d.r.] è durato molto poco (2-3 settimane) seguito da un nuovo aumento dei dolori ”. Non vi è per contro alcuna indicazione sulla capacità lavorativa (residua), rispettivamente alcun elemento circa l’impossibilità per †__________ di rendersi conto della sua funzione quale organo formale della società e dei relativi obblighi in punto ai contributi paritetici. Quo all’estratto dell’atto di morte e alla richiesta di svincolo dal segreto professionale per pazienti deceduti, tali documenti non presentano indicazioni sulla capacità lavorativa nell’intervallo temporale topico e sono pertanto irrilevanti. Le refertazioni di cui sopra, vanno messe in relazione con quanto osservato dalla Cassa nella risposta di causa (III, pag. 4 e segg., sottolineature del redattore): " In merito alle capacità cognitive e di agire del defunto […], […] nel periodo oggetto del danno di cui alla decisione qui avversata il signor __________ risultava essere organo formale delle seguenti società ([…] doc. 5): - __________, membro dal 16.07.2014 […] sino al suo decesso. […] dal 07.08.2014 risultava essere l’unico membro del CdA iscritto a RC; - __________, amministratore unico […] dal 23.11.2021 […] sino al suo decesso. Carica assunta il 05.10.2021 come da relativo verbale, con istanza di modifica a RC controfirmata dal notaio; - __________ AU dal 24.03.2017 al 29.03.2021 […]. Carica revocata il 23.03.2021 come da relativo verbale; - __________, AU dal 09.06.2021 sino al decesso. Carica assunta il 14.05.2021 come da relativo verbale redatto alla presenza del notaio che ne attesta la piena capacità civile e di disporre ; - __________, gerente dal 07.05.2021 sino al decesso. Carica assunta il 12.04.2021 come da relativo verbale con autenticazione della firma da parte del notaio; - __________, gerente dal 23.12.2019 sino al decesso; - __________, AU dal 13.07.2021 sino dal decesso. Carica assunta il 07.07.2021 come da relativo verbale con autenticazione della firma da parte del notaio; - __________, gerente dal 07.05.2021 sino al decesso. Carica assunta il 07.07.2021 sino al decesso. Carica assunta il 12.04.2021 come da relativo verbale con autenticazione della firma da parte del notaio; - __________, AU dal 24.09.2014 sino al decesso. - DT 1, AU dal 04.07.2013 sino al decesso; - __________, gerente dal 27.09.2021 sino al decesso. Carica assunta il 16.09.2021 come da relativo verbale con autenticazione della firma da parte del notaio; - __________, gerente dal 31.03.2021 sino al decesso. Carica assunta il 24.03.2021 come da relativo verbale con autenticazione della firma da parte del notaio; - __________, gerente dal 13.07.2021 sino al decesso. Carica assunta il 7 luglio 2021 come da verbale assembleare redatto alla presenza del notaio; - __________, AU dal 09.02.2021 sino al decesso. Carica assunta il 26.01.2021 come da relativo verbale con autenticazione della firma da parte del notaio; - __________, gerente dal 27.03.2014 sino al decesso; - __________, AU dal 27.10.2017 al 15.07.2020 . Revoca delle funzioni il 07.07.2020 , come da relativo verbale; Inoltre, […] si osserva che: - Il 1. settembre 2020 [ †__________, n.d.r.] comunica [alla Cassa, n.d.r.], quale gerente della __________, che la stessa non ha dipendenti , richiedendo nel contempo di annullare le fatture di acconto del 2° e 3° trimestre 2020; - Il 22 febbraio 2021 [ †__________, n.d.r.] compila , come confermato dalla ricorrente, la dichiarazione dei salari della società DT 1; - Il 12 aprile 2021 compila il questionario di affiliazione della __________; - Il 14 luglio 2021 ha richiesto di pagare ratealmente il conguaglio 2020 della […] DT 1; - Il 16 luglio 2021 ha richiesto di pagare ratealmente il conguaglio 2020 della __________; - L’ 8 settembre 2021 ha comunicato alla Cassa, tramite lettera, che la __________ non occupava più salariati, compilando il modulo apposito e chiedendo nel contempo l’annullamento dell’ultima fattura di acconto; - Il</w:t>
      </w:r>
    </w:p>
    <w:p>
      <w:r>
        <w:rPr>
          <w:b/>
        </w:rPr>
        <w:t>E. 2.2</w:t>
      </w:r>
    </w:p>
    <w:p>
      <w:r>
        <w:t>Oggetto del contendere è sapere se RI 1 deve essere condannata al risarcimento ex art. 52 LAVS come da decisione contestata.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 cfr. Meyer, Die Rechtsprechung des Eidgenössischen Versicherungsgerichts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 Secondo l'art. 14 cpv. 1 LAVS (e gli artt.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Nella fattispecie in esame, con riferimento alla menzionata giurisprudenza, a seguito del rilascio dell’attestato di carenza beni il 25 novembre 2022 (cfr. supra consid. 1.2. in fine), quale ex amministratore unico della società †__________ rispondeva in via sussidiaria dei contributi non soluti dalla società. Essendo deceduto il 2 gennaio 2022, con decisione di risarcimento 29 marzo 2023 la Cassa ha rettamente chiesto ad RI 1 – quale erede non rinunciataria dell’organo formale †__________ (cfr. supra consid. 1.3.; certificato ereditario del 19 agosto 2022, sub doc. 9; in tema di responsabilità degli eredi di un organo vedasi DTF 119 V 165 consid. 3c, 129 V 300 consid. 3.1; STFA H 36/02 del 10 ottobre 2002; STF 5A_860 del 9 ottobre 2017 consid. 3.3.2.; vedasi anche STF 9C_646/2012 del 27 agosto 2013 consid.3.2., STCA 31.2022.18+19 del 20 ottobre 2022 consid. 2.1. e 31.2005.10-11 del 19 ottobre 2006 consid. 2.2.; Bottinelli/Conca Soldati/Fabbri Pagani/Gianoni/Trisconi Rossetti, La procedura di risarcimento danni della Cassa di compensazione AVS/AI/IPG nei confronti del datore di lavoro ex art. 52 LAVS, in: RtiD II 2006, pag. 357 e seg. con molteplici rinvii giurisprudenziali; Kieser, Alters- und Hinterlassenenversicherung, in: RBS-Rechtsprechung des Bundesgerichts zum Sozialversicherungsrecht 2012, pagg. 338 e 356) – il risarcimento ex art. 52 LAVS per i contributi paritetici non versati per il periodo 1. gennaio-31 dicembre 2020 (cfr. supra consid. 1.3.). Infatti, conformemente alla surriferita giurisprudenza e dottrina, l’obbligo di risarcire il danno giusta l’art. 52 LAVS risultante dalla responsabilità sussidiaria del de cuius quale (ex) organo della persona giuridica fallita è trasferito agli eredi nella misura in cui non abbiano rifiutato la successione. In considerazione della responsabilità solidale degli eredi per i debiti della successione, la Cassa è libera di procedere (con separate decisioni) nei confronti dei singoli eredi soltanto per una parte del credito oppure per la sua integralità. 2.3.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concreto la Cassa ha allegato alla decisione di risarcimento 29 marzo 2023 emanata nei confronti di RI 1 i conteggi determinanti per i contributi AVS/AI/IPG/AD relativi al periodo 1. gennaio-31 dicembre 2020 per complessivi fr. 3'800.75 (doc. 1) e con la decisione su opposizione ha illustrato come è giunta a tale importo residuo (doc. 3, allegati A-C; cfr. infra consid. 2.7.). La ricorrente non ha contestato l’ammontare del danno fatto valere dalla Cassa nei suoi confronti. Pertanto, la Cassa ha debitamente comprovato l’ammontare del danno di cui ha chiesto il risarcimento ex art. 52 LAVS e che a seguito del pagamento nel frattempo intervenuto si è ridotto a fr. 1'800.75 (cfr. supra consid. 1.3. e 1.5. in fine).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e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(DTF 121 V 244 consid. 4b; 108 V consid. 1b e 193 consid. 2b). Va infine ricordato che in caso di aziende di modeste dimensioni, la prassi in materia prescrive agli organi degli obblighi di diligenza e di controllo accresciuti (STF 9C_788/2007 del 29 ottobre 2008, STF H 171/02 del 2 dicembre 2003 e H 5/02 del 31 gennaio 2003) e che un amministratore diligente non può estraniarsi dai problemi della società evidenziando che altri si occupavano della gestione della stessa (RCC 1989, pag. 114 e seg.; STF 17 ottobre 1996 nella causa M.G.; STCA 31.1997.13-14 del 30 settembre 1998). 2.7.  Accettando il mandato di amministratore unico con diritto di firma individuale di una società anonima (cfr. supra consid. 1.1.), †__________ ha assunto tutti gli oneri che da tale funzione derivano (cfr.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 1989 pag. 116; cfr. anche STF 29 agosto 1997 nella causa M.; cfr. anche (cfr. Frey/Mosimann/Bollinger, op. cit., n. 14 e seg. ad art. 52 LAVS e Kieser, op. cit., n. 44 ad art. 52 LAVS).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Giusta l’art. 35 cpv. 2 OAVS, il datore di lavoro deve comunicare alla cassa di compensazione i mutamenti importanti riguardanti la somma salari durante l’anno corrente. Per mutamenti importanti si intende una differenza della somma dei salari annua di almeno il 10% (e almeno di fr. 20'000; cfr. cifra 2056 delle Direttive sulla riscossione dei contributi nell’AVS, nell’AI e nelle IPG (DRC), valide dal 1. gennaio 2021, stato al 1. gennaio 2024)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e seg. DRC). In casu, la Cassa ha ravvisato una violazione dell’obbligo di comunicare ex art. 35 cpv.</w:t>
      </w:r>
    </w:p>
    <w:p>
      <w:r>
        <w:rPr>
          <w:b/>
        </w:rPr>
        <w:t>E. 7</w:t>
      </w:r>
    </w:p>
    <w:p>
      <w:r>
        <w:t>dicembre 2021 ha richiesto la modifica della dichiarazione dei salari 2020 inerente la società __________; - Dal conto individuale AVS del signor __________ risulta che nel 2020, nel periodo gennaio-dicembre, ha percepito un salario di CHF 19'200.00 dalla __________ e che per il periodo da luglio a dicembre 2021 ha percepito una retribuzione di CHF 3'250.00 dalla __________ (doc. 7). La Cassa osserva inoltre che il signor __________ era già stato oggetto di procedura di risarcimento danni ex art. 52 LAVS nel corso del 2019, in relazione agli scoperti dell’anno 2015 della __________. […] nel periodo da maggio 2020 ad agosto 2021 […] ha effettuato il pagamento di</w:t>
      </w:r>
    </w:p>
    <w:p>
      <w:r>
        <w:rPr>
          <w:b/>
        </w:rPr>
        <w:t>E. 8</w:t>
      </w:r>
    </w:p>
    <w:p>
      <w:r>
        <w:t>rate di CHF 390.00 ciascuna (doc. 8).” Esaminata la surriferita documentazione, questo Giudice ritiene che anche se, per ipotesi di lavoro, si volesse ritenere †__________ inabile al lavoro al 100% dal 6 luglio 2020 sino alla data del decesso, il suo agire, ben documentato dalla Cassa, non permette certo di concludere per un’incapacità di comprendere il proprio ruolo o anche nominare un sostituto, anzi. Infatti, nell’intervallo temporale critico (6 luglio 2020-2 gennaio 2022), egli ha assunto diversi nuovi mandati in seno a molteplici società, riportando masse salariali, chiedendo dilazioni e rateizzazioni dei pagamenti, percependo salari, ecc. Pertanto, lo stato valetudinario di †__________ non può assurgere a motivo di discolpa ai sensi della giurisprudenza topica. 2.7.2.  La ricorrente adduce, quale motivo di discolpa, il fatto che la Cassa non ha provato che il differimento dei pagamenti dei contributi fosse cronico o che i pagamenti venivano effettuati solo dopo che le procedure esecutive giungevano ad uno stadio avanzato (I, p.to 3.). A tal proposito, questo Giudice può far propria la presa di posizione della Cassa (III, pag. 6 e seg., sottolineature del redattore): " […] la Cassa sottolinea che la mancata notifica del versamento dei salari nel corso dell’anno, come prescrive l’ art. 35 cpv. 2 OAVS […] non ha permesso alla stessa di emettere e se del caso diffidare e precettare per tempo i contributi d’acconto dell’anno 2020 (negli anni 2018 e 2019 la società non ha dichiarato alcun salario […]). Pertanto la ricorrente non può avvalersi della presunta regolarità dei pagamenti per ritenere esente da responsabilità il comportamento del defunto amministratore.” In effetti, è stato proprio l’(in)agire gravemente negligente di †__________ (cfr. supra consid. 2.7.) a determinare la dilazione delle tempistiche in punto al versamento degli oneri sociali per l’anno 2020, ciò che, di tutta evidenza, non può assurgere a circostanza esimente. Va in ogni caso precisato quanto segue. Il 14 luglio 2021 †__________ aveva chiesto alla Cassa una dilazione di pagamento rateale per i contributi paritetici relativi al 2020 (doc. 3, allegato B), dilazione che la Cassa ha concesso il 27 luglio 2021 (doc. 3, allegato C). Giusta l’art. 34b cpv. 3 OAVS, la dilazione del pagamento vale come diffida, ragione per cui in casu la società era stata formalmente diffidata il 27 luglio 2021. Inoltre, dall’analisi del piano di pagamento rateale si evince che la società doveva versare in dieci rate (scadenti il 31 agosto 2021, il 30 settembre 2021, il 1. novembre 2021, il 30 novembre 2021, il 31 dicembre 2021, il 31 gennaio 2022, il 28 febbraio 2022, il 31 marzo 2022, il 2 e 30 maggio 2022; doc. 3, allegato C), lo scoperto contributivo relativo all’anno 2020. Come incontestatamente asserito dalla Cassa, “ la dilazione concessa il 27 luglio 2021 è stata rispettata solamente in ragione di 2 rate (la 1.a, scadente il 31 agosto, è stata saldata il 3 settembre, mentre la 2a, scadente il 30 settembre, solamente il 30 novembre 2021) ” (doc. 3, pag. 7). A causa del mancato rispetto del piano di pagamento rateale, la Cassa ha avviato il 18 novembre 2022 la procedura esecutiva nr. __________ terminata con il rilascio dell’attestato di carenza beni definitivo del 25 novembre 2022 (doc. 3, allegato D). Visto quanto precede, la censura dell’insorgente non può essere condivisa. 2.8.  C 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1.2., 2.3., 2.7-2.7.2.), non si rileva alcun motivo di giustificazione o di discolpa ai sensi della surriferita giurisprudenza. 2.9.  Visto tutto quanto precede, questo Giudice deve concludere che †__________, non avendo adempiuto agli obblighi di diligenza e vigilanza e avendo così violato le prescrizioni per negligenza grave, in assenza di motivi di giustificazione e di discolpa ai sensi della citata giurisprudenza ha impegnato RI 1 – quale erede che non ha rinunciato alla successione – per quanto concerne le conseguenze del manato pagamento dei contributi paritetici della fallita DT 1 per il periodo 1. gennaio-31 dicembre 2020 . Confermata la responsabilità ex art. 52 LAVS dell’ex organo, il ricorso va accolto parzialmente, il danno imputato ad RI 1 riducendosi dai fr. 3'800.75 richiesti con la decisione contestata a 1'800.75 a seguito di un pagamento nel frattempo effettuato da “ un altro convenuto ” (cfr. supra consid. 1.5.). 2.10.  Conformemente all’art. 61 cpv. 1 lett. g. prima frase LPGA la ricorrente che vince la causa ha diritto al rimborso delle ripetibili secondo quanto stabilito dal tribunale delle assicurazioni. Nel caso in esame l’importo del danno è stato ridotto a seguito dei pagamenti intervenuti successivamente all’emanazione della decisione impugnata, circostanza, questa, che non ha inciso sulla posizione della ricorrente. Ritenuto che l’obbligo di risarcimento ex art. 52 LAVS è stato confermato con il presente giudizio e che quindi non può essere ravvisata una vittoria, nemmeno parziale, dell’insorgente, tantomeno una soccombenza da parte della Cassa, appare giustificato non assegnare ripetibili (in tema STF H 67/01 del 5 agosto 2002 citata in Reichmuth, op. cit., n., 1129 pag. 268; STCA 31.2006.7 del 22 febbraio 2006 e 31.2022.21 del 5 dicembre 2022 consid. 2.9., confermata nella STF 9C_43/2023 del 13 settembre 2023). 2.11.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