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31.2024.13 vom 10. Februar 2025</w:t>
      </w:r>
    </w:p>
    <w:p>
      <w:r>
        <w:t>TI Tribunale d'appello, 2025-02-10, IT</w:t>
      </w:r>
    </w:p>
    <w:p>
      <w:r>
        <w:rPr>
          <w:b/>
        </w:rPr>
        <w:t xml:space="preserve">Quelle: </w:t>
      </w:r>
      <w:r>
        <w:t>https://mcp.opencaselaw.ch/entscheid/ti_gerichte_31.2024.13</w:t>
      </w:r>
    </w:p>
    <w:p>
      <w:r>
        <w:t>FR: TI_GERICHTE 31.2024.13 du 10 février 2025</w:t>
      </w:r>
    </w:p>
    <w:p>
      <w:r>
        <w:t>IT: TI_GERICHTE 31.2024.13 del 10 febbraio 2025</w:t>
      </w:r>
    </w:p>
    <w:p>
      <w:pPr>
        <w:pStyle w:val="Heading2"/>
      </w:pPr>
      <w:r>
        <w:t>Erwägungen</w:t>
      </w:r>
    </w:p>
    <w:p>
      <w:r>
        <w:rPr>
          <w:b/>
        </w:rPr>
        <w:t>E. 1</w:t>
      </w:r>
    </w:p>
    <w:p>
      <w:r>
        <w:t>dichiarava che vi erano ancora due lavoratrici alle dipendenze della FA 1 e successivamente non ha mai comunicato alcunché in relazione alla rescissione di ogni rapporto di lavoro in essere. Dalla dichiarazione dei salari per l’anno 2022 inviata il 4 gennaio 2023 risulta che queste due dipendenti sono state occupate almeno fino al 31.12.2022. Nessuna comunicazione per contro è giunta alla Cassa sul fatto che da lì in poi non vi sarebbe più stata occupazione di dipendenti. La Cassa in data 13 marzo 2023 ha richiesto alla società informazioni per una dipendente indicata nella distinta 2022. In seguito a ciò nessuna comunicazione è giunta alla Cassa. Le fatture mensili di acconto del 04.01.2023, 02.02.2203, 02.03.2023, 03.04.2023 non sono mai state contestate, nè sono mai giunte richieste di aggiornamento a dipendenza di modifiche del personale della società. Queste fatture sono state oggetto di 4 diffide e altrettante domande di esecuzione nel periodo marzo – agosto 2023 (l’acconto di gennaio 2023 è stato addirittura oggetto di ACB il 27 novembre 2023), senza che alcuna contestazione o comunicazione giungesse alla Cassa. Il signor RI 1 non ha dato seguito alle richieste del Servizio ispettorato inerenti la compilazione della dichiarazione dei salari 2023 (cfr. rapporto del 01.09.2023 e scritto del 26.04.2023 al sig. RI 1). Nemmeno successivamente al fallimento e alla relativa insinuazione della Cassa all’UF, comprensiva del saldo 2023, nessuna contestazione è stata inoltrata in relazione a tale saldo. A seguito della pubblicazione dello scioglimento della società (FUSC del 17.04.2023) è stata sospesa la fatturazione degli acconti. Contrariamente a quanto asserito dal ricorrente la decisione di scioglimento della società non costituisce alcuna prova sull’assenza di personale. Si sottolinea nuovamente che nemmeno a seguito dello scritto del 25 luglio 2024 il signor RI 1 si è avvalso della facoltà di fornire informazioni chiare, veritiere e verosimili e nemmeno documentazione atta a comprovare la tesi ora proposta dell’assenza di personale dal 01.01.2023. (…)” (doc. III pagg. 3-4) In queste circostanze, l’insorgente non ha reso verosimile né in sede amministrativa né in sede ricorsuale che – come da lui sostenuto – nel periodo in questione la società non aveva collaboratori e che quindi gli acconti non erano dovuti, motivo per cui la Cassa non avrebbe subito alcun danno. Va del resto ricordato, come visto sopra, che in caso di contestazione spetta alla controparte l’onere della prova che l’importo del danno richiesto dalla cassa di compensazione non è corretto, ciò che non è il caso nella presente fattispecie. Di conseguenza il conteggio della Cassa risulta corretto, come pure la quantificazione del danno, non avendo la società versato i contributi richiesti per il periodo in esame (doc.</w:t>
      </w:r>
    </w:p>
    <w:p>
      <w:r>
        <w:rPr>
          <w:b/>
        </w:rPr>
        <w:t>E. 5</w:t>
      </w:r>
    </w:p>
    <w:p>
      <w:r>
        <w:t>inc. Cassa).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Ne consegue che se è causa della propria insolvenza nei confronti della Cassa, lo stesso può essere reso responsabile ai sensi dell'art. 52 LAVS, anche se non ha violato una prescrizione specifica della LAVS (RCC 1985 pag. 608 consid. 5b). 2.5.  Ritornando al caso in esame, come visto al consid. 1.1, quale gerente di una Sagl al ricorrente - al pari dell’organo di una società anonima – spettava l’obbligo di vigilare sul pagamento dei contributi. Di tale obbligo e delle conseguenze del mancato rispetto delle prescrizioni da parte del datore di lavoro egli era ben consapevole. A tal riguardo, in sede di risposta la Cassa ha infatti rilevato come l’insorgente “è stato oggetto in passato di altre 4 procedure risarcitorie, di cui una per la stessa società (con decisione 17 novembre 2023) per gli scoperti 2022 per un importo di CHF 12'086,20 nel frattempo saldati”. Tale assunto non è stato contestato dall’interessato. 2.6.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op. cit., n. 668 ss. pagg. 156 ss.; vedi anche Meyer, op. cit., pagg. 25 ss. e 35 ss.; cfr. anche STF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 cit., n. 668 seg. pag. 156 ss.; vedi anche Meyer, op. cit., pagg. 25 ss. e 35 ss.;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 ss.; cfr. anche Meyer, op. cit., pag.36).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2.7. In considerazione di tutto quanto precede questo Giudice deve concludere che l’insorgente, non avendo adempiuto agli obblighi di diligenza e vigilanza, ha così violato le prescrizioni per negligenza grave e, in assenza di motivi di giustificazione o di discolpa ai sensi della citata giurisprudenza, deve assumersi la conseguenza del mancato pagamento dei contributi paritetici da parte di FA 1 per gli acconti gennaio – aprile 2023 in ragione di 6'846,10. Confermata la responsabilità ex art. 52 LAVS dell’insorgente, il ricorso va respinto. 2.8.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2.9.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