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31.2024.12 vom 31. Januar 2025</w:t>
      </w:r>
    </w:p>
    <w:p>
      <w:r>
        <w:t>TI Tribunale d'appello, 2025-01-31, IT</w:t>
      </w:r>
    </w:p>
    <w:p>
      <w:r>
        <w:rPr>
          <w:b/>
        </w:rPr>
        <w:t xml:space="preserve">Quelle: </w:t>
      </w:r>
      <w:r>
        <w:t>https://mcp.opencaselaw.ch/entscheid/ti_gerichte_31.2024.12_d20250131</w:t>
      </w:r>
    </w:p>
    <w:p>
      <w:r>
        <w:t>FR: TI_GERICHTE 31.2024.12 du 31 janvier 2025</w:t>
      </w:r>
    </w:p>
    <w:p>
      <w:r>
        <w:t>IT: TI_GERICHTE 31.2024.12 del 31 gennaio 2025</w:t>
      </w:r>
    </w:p>
    <w:p>
      <w:pPr>
        <w:pStyle w:val="Heading2"/>
      </w:pPr>
      <w:r>
        <w:t>Regeste</w:t>
      </w:r>
    </w:p>
    <w:p>
      <w:r>
        <w:t>Per avviare una procedura ex art. 52 LAVS è sufficiente un ACB emesso in un'esecuzione per via di pignoramento, il danno comprendendo non solo gli oneri sociali relativi all'ACB (in seguito pagato) ma tutti quelli scaduti al momento della decisione. Ricorso respinto</w:t>
      </w:r>
    </w:p>
    <w:p>
      <w:pPr>
        <w:pStyle w:val="Heading2"/>
      </w:pPr>
      <w:r>
        <w:t>Erwägungen</w:t>
      </w:r>
    </w:p>
    <w:p>
      <w:r>
        <w:rPr>
          <w:b/>
        </w:rPr>
        <w:t>E. 5</w:t>
      </w:r>
    </w:p>
    <w:p>
      <w:r>
        <w:t>incarto Cassa, pag. 4 seg.). La Cassa era quindi già a conoscenza di questi pagamenti al momento dellemissione della decisione risarcitoria e li aveva dedotti dai contributi scoperti; non per nulla, infatti, gli importi totali nei conteggi allegati alla decisione risarcitoria e nei dettagli allegati alla risposta di causa sono gli stessi.</w:t>
      </w:r>
    </w:p>
    <w:p>
      <w:r>
        <w:t>Il ricorrente adduce inoltre che la fallita non ha prodotto tutta la documentazione per il recupero degli assegni famigliari già versati ai dipendenti. Questa pretesa resta però una mera allegazione di parte, né quantificata né comprovata; il ricorrente non ha quindi adeguatamente contestato la correttezza dellimporto richiesto dalla Cassa.</w:t>
      </w:r>
    </w:p>
    <w:p>
      <w:r>
        <w:t>Visto quanto sopra, la Cassa ha debitamente comprovato lammontare del danno di cui ha chiesto il risarcimento ex art. 52 LAVS.</w:t>
      </w:r>
    </w:p>
    <w:p>
      <w:r>
        <w:t>2.7.3.  Il ricorrente evidenzia però anche che, essendo preventivabile un dividendo per la seconda classe, per determinare il danno subito dalla Cassa sarebbe necessario attendere la conclusione della procedura di liquidazione.</w:t>
      </w:r>
    </w:p>
    <w:p>
      <w:r>
        <w:t>Al riguardo va ricordato che la Cassa può agire preventivamente, anche se non dispone di tutti gli elementi da porre a fondamento dell'azione, quindi prima della conoscenza precisa del danno effettivo. In effetti, per la giurisprudenza federale, è sufficiente che la Cassa subisca un danno parziale per legittimare l'inizio di una procedura ex art. 52 LAVS (DTF 121 V 243 consid. 4c). In caso di fallimento di una società datrice di lavoro, la Cassa non può tenere in sospeso la procedura di risarcimento fino al momento in cui conosce lammontare esatto del danno che viene determinato di principio alla chiusura del fallimento ma la decisione di risarcimento può essere stabilita in modo che gli autori del danno siano chiamati a risarcire la totalità delle somme sottratte alla Cassa. In compenso l'amministrazione cederà loro leventuale dividendo nel fallimento (DTF 113 V 184 consid. 3b; STCA 20 ottobre 2000, inc. 31.1999.00026/31.1999.00036; STCA 18 marzo 2019, inc. 31.2015.15).</w:t>
      </w:r>
    </w:p>
    <w:p>
      <w:r>
        <w:t>Per questi motivi, nel caso in esame la Cassa ha rettamente iniziato la procedura di risarcimento ex art. 52 LAVS senza aspettare la conclusione della procedura di liquidazione.</w:t>
      </w:r>
    </w:p>
    <w:p>
      <w:r>
        <w:t>2.8.</w:t>
      </w:r>
    </w:p>
    <w:p>
      <w:r>
        <w:t>2.8.1.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 segg. OAVS; RCC 1985 pag. 607 consid. 5a).</w:t>
      </w:r>
    </w:p>
    <w:p>
      <w:r>
        <w:t>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w:t>
      </w:r>
    </w:p>
    <w:p>
      <w:r>
        <w:t>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w:t>
      </w:r>
    </w:p>
    <w:p>
      <w:r>
        <w:t>La cassa di compensazione che constata di aver subìto un danno in seguito alla non osservanza delle prescrizioni (ad es. dell'art. 14 LAVS, relativo all'obbligo di dedurre da ogni paga i contributi e di versarli periodicamente alla cassa, rispettivamente degli artt. 34 segg.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w:t>
      </w:r>
    </w:p>
    <w:p>
      <w:r>
        <w:t>Ai sensi della giurisprudenza del TF si deve ammettere una negligenza grave del datore di lavoro quando questi abbia trascurato di fare quanto doveva apparire importante a qualsiasi persona ragionevole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consid.5a; DTF 112 V 159 consid. 4 con riferimenti; Knus, Die Schadenersatzpflicht des Arbeitgebers in der AHV, 1989, pag. 53).I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posto che la delega delle competenze non permette, di per sé, di sottrarsi alla responsabilità sussidiaria degli organi ex art. 52 LAVS (Kieser, Rechtsprechung des Bundesgerichts zum Sozialversicherungsrecht, in: RBS 2020, n. 44 con rinvio alla STF 9C_145/2010 del 15 giugno 2010 consid. 5.4). La giurisprudenza ritiene che, di regola, la mancata deduzione e relativo trasferimento alla Cassa dei contributi configura una grave negligenza (DTF 108 V 186 consid. 1b).</w:t>
      </w:r>
    </w:p>
    <w:p>
      <w:r>
        <w:t>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(DTF 121 V 244 consid. 4b; 108 V consid. 1b e 193 consid. 2b).</w:t>
      </w:r>
    </w:p>
    <w:p>
      <w:r>
        <w:t>Va infine ricordato che in caso di aziende di modeste dimensioni, la prassi in materia prescrive agli organi degli obblighi di diligenza e di controllo accresciuti (STF 9C_788/2007 del 29 ottobre 2008, STF H 171/02 del 2 dicembre 2003 e H 5/02 del 31 gennaio 2003) e che un amministratore diligente non può estraniarsi dai problemi della società evidenziando che altri si occupavano della gestione della stessa (RCC 1989, pag. 114 seg.; STF 17 ottobre 1996 nella causa M.G.; STCA 31.1997.13-14 del 30 settembre 1998).</w:t>
      </w:r>
    </w:p>
    <w:p>
      <w:r>
        <w:t>2.8.2  Nella fattispecie concreta, accettando il mandato di amministratore unico con diritto di firma individuale di una società anonima (cfr. supra consid. 1.1), il ricorrente ha assunto tutti gli oneri che da tale funzione derivano.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Così, l'organo di una società anonima deve prestare attenzione particolare alla scelta delle persone cui viene affidata la gestione degli affari importanti della ditta (cura in eligendo), alle istruzioni che egli dà (cura in instruendo) e alla sorveglianza (cura in custodiendo). Se, dalle informazioni raccolte, sorge il sospetto di una gestione scorretta o negligente da parte di chi ha ottenuto la delega gestionale, lorgano deve intervenire affinché le prescrizioni siano rispettate, eventualmente coinvolgendo uno specialista in ambito contabile (cfr. STF H 282/01 del 27 febbraio 2002 e del 25 luglio 1991 nella causa V.E.; DTF 114 V 219 = RCC1989 pag. 116; cfr. ancheSTF 29 agosto 1997 nella causa M.; cfr. anche Frey/Mosimann/Bollinger, op. cit., n. 14 seg. ad art. 52 LAVS e Kieser, op. cit., n. 44 ad art. 52 LAVS). Segnatamente è suo preciso dovere vigilare affinché i contributi vengano regolarmente versati, peraltro già prelevati dai salari dei dipendenti in conformità all'art. 51 LAVS (STF H 171/02 del 2 dicembre 2003, STF H 310/02 dell11 novembre 2003, STF H 33/03 dell8 ottobre 2003 e STF H 208/00, H 209/00 del 28 aprile 2003; DTF 108 V 202; Frésard, op. cit., pag. 165). In caso contrario si finirebbe per legittimare la figura dell'uomo di paglia (STF 365/01 del 15 aprile 2002 consid. 5, STF H 234/00 del 27 aprile 2001 consid. 5d). In tale contesto, nella STF H 160/99 dell'8 novembre 1999, il TF ha rilevato in particolare che"scopo della norma[art. 716a cpv. 1 CO, n.d.r.]è di evidenziare che il mandato quale consigliere d'amministrazione non può essere inteso unicamente quale sinecura, ossia quale incombenza scarsamente impegnativa e di poca responsabilità".Secondo la nostra Massima istanza, lamministratore di una società e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w:t>
      </w:r>
    </w:p>
    <w:p>
      <w:r>
        <w:t>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31.2003.18 del 28 gennaio 2004 consid. 2.10.2 con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w:t>
      </w:r>
    </w:p>
    <w:p>
      <w:r>
        <w:t>Giusta lart. 35 cpv. 2 OAVS, inoltre, il datore di lavoro deve comunicare alla cassa di compensazione i mutamenti importanti riguardanti la somma dei salari durante lanno corrente. Per mutamenti importanti si intende una differenza della somma dei salari annua di almeno il 10% (e almeno di fr. 20'000; cfr. cifra 2057 delle Direttive sulla riscossione dei contributi nellAVS, nellAI e nelle IPG (DRC), valide dal 1. gennaio 2021, stato al 1. gennaio 2024) rispetto alloriginaria somma dei salari presumibile (STF 9C_247/2016 del 10 agosto 2016; STCA 31.2016.6). La giurisprudenza federale sottolinea inoltre che è data una violazione dellobbligo di informare la Cassa anche qualora la società abbia sì comunicato un aumento della massa salariale, ma ciò non ha comunque evitato un conguaglio con una variazione superiore al 10% (STF 9C_355/2010 del 17 agosto 2010). Il datore di lavoro deve conteggiare i salari entro 30 giorni dal termine del periodo di conteggio (art. 36 cpv. 2 OAVS), quindi di principio entro il 30 gennaio dellanno successivo (cifra 2077 seg. DRC).</w:t>
      </w:r>
    </w:p>
    <w:p>
      <w:r>
        <w:t>In casu, la Cassa ha ravvisato una violazione dellobbligo di comunicare ex art. 35 cpv. 2 OAVS da parte della società datrice di lavoro:</w:t>
      </w:r>
    </w:p>
    <w:p>
      <w:r>
        <w:t>Quanto allegato dalla Cassa trova riscontro nella documentazione agli atti (cfr. docc. 4-6 e 14 incarto Cassa) e, di per sé, non è stato contestato in questa sede. Ne discende che, accettando il mandato di amministratore unico, il ricorrente ha assunto tutti gli oneri che da tale funzione derivano, incluso lobbligo di comunicare alla Cassa tutti i mutamenti importanti e di versare i contributi paritetici calcolati sulla massa salariale (tardivamente) dichiarata. Come visto (cfr. supra consid. 2.3 e 2.8.1), la violazione dellart. 35 cpv. 2 OAVS, oltre al mancato versamento dei contributi paritetici, costituisce una grave violazione del dovere di diligenza cui il ricorrente era tenuto quale organo della società, ragione per cui la Cassa ha rettamente presunto un (in)agire (perlomeno) gravemente negligente.</w:t>
      </w:r>
    </w:p>
    <w:p>
      <w:r>
        <w:t>2.9.  Linsorgente non ha del resto fatto valere né tantomeno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w:t>
      </w:r>
    </w:p>
    <w:p>
      <w:r>
        <w:t>Trattasi da un lato di eventuali motivi digiustificazione,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w:t>
      </w:r>
    </w:p>
    <w:p>
      <w:r>
        <w:t>Daltro lato possono essere dati motivi didiscolpaper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w:t>
      </w:r>
    </w:p>
    <w:p>
      <w:r>
        <w:t>In concreto, come detto, non sono stati invocati motivi di giustificazione, rispettivamente di discolpa, nel senso della succitata giurisprudenza. In particolare, non è stato addotto né quindi comprovato che la società si trovasse confrontata con una mancanza di liquidità passeggera e che lomesso pagamento dei contributi fosse da considerare giustificato da prospettive allora esistenti per il salvataggio dellazienda. Come detto, inoltre, il TF ha circoscritto a due o tre mesi la perdita contributiva tollerabile dal profilo dell'art. 52 LAVS, a condizione che il datore di lavoro abbia regolarmente versato i precedenti contributi, ciò che non corrisponde al caso in esame. Dal dettaglio sullevoluzione dellincasso 2022 si rileva infatti come la Cassa dall11 aprile 2022 ha dovuto diffidare la società al pagamento degli oneri sociali, avviando dal 5 maggio 2022 numerose procedure esecutive (cfr. doc. 4 incarto Cassa, pag. 1). Dallelenco diffide emesse risulta come già a partire dallanno precedente la società sia stata a più riprese diffidata a versare quanto dovuto allamministrazione (cfr. doc. 7 incarto Cassa, pag. 1). Per il 2022 la società ha versato solo una minima parte dei contributi dovuti (fr. 23'271.70 su 99'388.85; cfr. doc. 4 incarto Cassa, pag. 6), per il 2023 il debito contributivo è ben lungi dallessere completamente estinto (prima della fattura di rettifica che ha aumentato il debito erano stati versati fr. 71'193.74 su 103'450.90; cfr. doc. 5 incarto Cassa, pag. 5). Trattandosi di un lungo lasso di tempo ai sensi della giurisprudenza, la negligenza grave deve essere confermata.</w:t>
      </w:r>
    </w:p>
    <w:p>
      <w:r>
        <w:t>Nel caso di specie, non si rileva quindi alcun motivo di giustificazione o di discolpa ai sensi della surriferita giurisprudenza.</w:t>
      </w:r>
    </w:p>
    <w:p>
      <w:r>
        <w:t>2.10.  Essendo venuto meno agli obblighi di amministratore unico della società e avendo così violato le prescrizioni per negligenza grave, non sussistendo validi motivi di discolpa e/o di giustificazione, linsorgente va ritenuto responsabile ex art. 52 LAVS del danno derivante dal mancato pagamento da parte della società dei contributi partiteci dovuti nel 2022 e nel 2023 per fr. 108'374.31 (spese e interessi inclusi). Il ricorso va quindi respinto.</w:t>
      </w:r>
    </w:p>
    <w:p>
      <w:r>
        <w:t>2.11.  Il nuovo art. 61 lett. a LPGA in vigore dal 1. gennaio 2021 (cfr. art. 82a Disposizione transitoria LPGA) non prevede più la gratuità della procedura ma unicamente che la stessa deve essere semplice, rapida e di regola pubblica. Dal 1. gennaio 2021 è pure in vigore il nuovo art.61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eliminando il principio della gratuità generalizzata di cui all'art. 61 lett. a LPGA, il legislatore federale non ha voluto imporre in maniera generalizzata per tutta la Svizzera l'applicazione di spese giudiziarie al di fuori del campo di applicazione dell'art. 61 lett. fbisLPGA,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fbisLPGA, trattandosi di un tributo causale, deve prevedere una base legale formale chiara ed esplicita (art. 127 Cost.;DTF 145 I 52consid.5.2;143 I 227consid. 4.3.1;124 I 241consid. 4a, con riferimenti; Kieser, Kommentar zum Bundesgesetz über den Allgemeinen Teil des Sozialversicherungsrechts ATSG, 2020, n. 209 ad art. 61 LPGA)".</w:t>
      </w:r>
    </w:p>
    <w:p>
      <w:r>
        <w:t>2.12.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fondamentalepresupposto questo che, secondo lart. 85 cpv. 2 LTF, renderebbe ammissibile il ricorso in materia di diritto pubblico anche se il valore litigioso non raggiunge i fr. 30'000deve essere dimostrato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