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31.2023.6 vom 20. September 2023</w:t>
      </w:r>
    </w:p>
    <w:p>
      <w:r>
        <w:t>TI Tribunale d'appello, 2023-09-20, IT</w:t>
      </w:r>
    </w:p>
    <w:p>
      <w:r>
        <w:rPr>
          <w:b/>
        </w:rPr>
        <w:t xml:space="preserve">Quelle: </w:t>
      </w:r>
      <w:r>
        <w:t>https://mcp.opencaselaw.ch/entscheid/ti_gerichte_31.2023.6</w:t>
      </w:r>
    </w:p>
    <w:p>
      <w:r>
        <w:t>FR: TI_GERICHTE 31.2023.6 du 20 septembre 2023</w:t>
      </w:r>
    </w:p>
    <w:p>
      <w:r>
        <w:t>IT: TI_GERICHTE 31.2023.6 del 20 settembre 2023</w:t>
      </w:r>
    </w:p>
    <w:p>
      <w:pPr>
        <w:pStyle w:val="Heading2"/>
      </w:pPr>
      <w:r>
        <w:t>Regeste</w:t>
      </w:r>
    </w:p>
    <w:p>
      <w:r>
        <w:t>Ricorso (respinto) contro decisione (su opposizione) di risarcimento nei confronti della società. Credito contributivo irrecuperabile a motivo di perenzione, mentre quello risarcitorio non era prescritto. Nessun motivo di giustificazione/discolpa</w:t>
      </w:r>
    </w:p>
    <w:p>
      <w:pPr>
        <w:pStyle w:val="Heading2"/>
      </w:pPr>
      <w:r>
        <w:t>Erwägungen</w:t>
      </w:r>
    </w:p>
    <w:p>
      <w:r>
        <w:rPr>
          <w:b/>
        </w:rPr>
        <w:t>E. 1</w:t>
      </w:r>
    </w:p>
    <w:p>
      <w:r>
        <w:t>gennaio 2020 e in concreto applicabile giusta l’art. 49 del Titolo finale del Codice civile; in tema STCA 31.2022.14 del 26 settembre 2022 consid. 2.3.), avendo emanato la decisione di risarcimento il 22 aprile 2022 (doc. 3) e contrariamente a quanto asserito dall’insorgente (cfr. supra consid. 1.4. in fine), la Cassa ha rispettato il termine di prescrizione (cfr. supra consid. 2.3.). Visto quanto precede, la pretesa risarcitoria fatta valere dalla Cassa con decisione 22 aprile 2022 non è prescritta. 2.5. La cassa di compensazione che constata di aver subito un danno in seguito alla non osservanza delle prescrizioni (ad es. dell'art. 14 LAVS, relativo all'obbligo di dedurre da ogni paga i contributi e di versarli periodicamente alla cassa, rispettivamente degli artt. 34 e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 Ai sensi della giurisprudenza del TF si deve ammettere una negligenza grave del datore di lavoro quando questi abbia trascurato di fare quanto doveva apparire importante a qualsiasi persona ragionevolmente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 5a; DTF 112 V 159 consid. 4 con riferimenti; Knus, Die Schadenersatzpflicht des Arbeitgebers in der AHV, 1989, pag. 53). I fatti di cui si è resa colpevole una ditta non sono necessariamente imputabili a tutti gli organi della stessa. La giurisprudenza ritiene che, di regola, la mancata deduzione e relativo trasferimento alla Cassa dei contributi configura una grave negligenza (DTF 108 V 186 segg. consid. 1b). Nel caso di una società anonima si debbono porre esigenze molto severe per quanto concerne l’attenzione da prestare alle prescrizioni AVS (DTF 108 V 203 con riferimenti). La giurisprudenza ritiene che, di regola, la mancata deduzione e relativo trasferimento alla Cassa dei contributi configura una grave negligenza. (DTF 108 V 186ss. consid. 1b). In concreto, la RI 1 non ha dedotto e versato i contributi sugli arretrati salariali del 2015 versati all’ex dipendente nel 2019, omissione che, in ossequio alla suevocata giurisprudenza, configura un agire gravemente negligente. 2.6.  Come accennato (cfr. supra consid. 1.3.,1.4. e 2.4.), l’insorgente sostiene di aver concluso un accordo extragiudiziale con la Cassa a tacitazione delle pretese afferenti alla ripresa salariale dell’ex dipendente __________, producendo con il gravame l’allegato A2 dal seguente tenore: “ 4) Ripresa __________ L’importo di CHF 9'700 inerente al signor __________ […] che è riferito all’anno 2015 verrà stornato in quanto prescritto. Il servizio competente procederà ad effettuare la rettifica come “Decisione di risarcimento dei danni ex combinati art. 52 e 16 cpv. 1 LAVS” ” (I, allegato A2; doc. 6, pag. 3). Si rileva innanzitutto che agli atti non figura alcun accordo extragiudiziale. Ciò premesso, si osserva che l’allegato menzionato è un frammento della decisione su opposizione 27 gennaio 2022 resa dalla Cassa nell’ambito della tassazione d’ufficio (doc. 6, pag. 3). Tale procedura aveva per oggetto il credito contributivo (ripresa salariale), non quello risarcitorio. Conseguentemente, anche la STCA 30.2022.4 dell’8 marzo 2022, ossia lo stralcio della procedura a seguito del ritiro del ricorso da parte della RI 1, concerneva unicamente la questione contributiva e anche un eventuale accordo extragiudiziale poteva avere quale oggetto esclusivamente il credito contributivo. Infine, il frammento riportato sopra non permette certo di concludere per una rinuncia della Cassa al credito risarcitorio. Anzi, quest’ultima ha esplicitato (pur usando erroneamente il termine “ prescritto ” in luogo di “ perento ”) di aver scorporato la questione afferente a __________ dalla decisione di tassazione d’ufficio, avendo rilevato l’irrecuperabilità del credito contributivo a motivo di perenzione, prospettando una decisione di risarcimento danni ex art. 52 LAVS e indicando i disposti di legge in concreto applicabili. Non vi è spazio per una diversa interpretazione, ragione per cui la censura dell’insorgente s’appalesa inconferente. 2.7.  Per il resto le circostanze addotte dalla ricorrente (cfr. supra consid. 1.3., 1.4. e 2.6.) non costituiscono all’evidenza motivi di giustificazione o di discolpa atti a scagionarla dalla sua responsabilità e a far quindi decadere il suo obbligo di risarcire. Costituisce infatti motivo di giustificazione il caso in cui un datore di lavoro, omettendo il pagamento dei contributi per fare fronte a una mancanza (passeggera) di liquidità, tenti in questo modo di salvare l'impresa che versa in una delicata situazione finanziaria (DTF 108 V 189 consid. 4.). Un simile comportamento sfugge a una responsabilità ai sensi dell'art. 52 LAVS unicamente se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Meyer, op. cit., pag. 25 segg. e 35 segg.; RCC 1992, pag. 261, consid. 4b e 1985, pag. 604, consid. 3a; Pratique VSI 1996, pag. 307, consid. 3; STF H 103/00 dell’11 gennaio 2002 consid. 4c; DTF 123 V 244 consid. 4b e DTF 108 V 183).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 Da distinguere dal caso in cui il datore di lavoro non versa i contributi per salvare l’azienda, la cui omissione può costituire motivo di giustificazione, vi è quello in cui il mancato pagamento in occasione della cessazione dell’attività può eventualmente rappresentare motivo di discolpa . Questa seconda ipotesi può verificarsi segnatamente con riferimento a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Reichmuth, op. cit., n. 696 segg. pag. 163 segg.;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 2.8. Visto tutto quanto precede, questo Tribunale deve concludere che l’insorgente, non avendo adempiuto agli obblighi di diligenza e vigilanza accresciuti (cfr. supra consid. 2.5.) e avendo così violato le prescrizioni per negligenza grave, in assenza di motivi di giustificazione e di discolpa ai sensi della citata giurisprudenza, deve assumersi le conseguenze della mancata notifica e del mancato pagamento dei contributi paritetici calcolati sull’importo di fr. 9'700 versato all’ex dipendente per l’anno 2015, per complessivi fr. 1'464.15. Confermata la responsabilità ex art. 52 LAVS della ricorrente, la decisione impugnata merita pertanto conferma mentre il ricorso va integralmente respinto. 2.9.  Il nuovo art. 61 lett. a LPGA in vigore dal 1. gennaio 2021 (cfr. art. 82a Disposizione transitoria LPGA) non prevede più la gratuità della procedura ma unicamente che la stessa deve essere semplice, rapida e di regola pubblica. Dal 1. gennaio 2021 è pure in vigore il nuovo 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 eliminando il principio della gratuità generalizzata di cui all' art. 61 lett. a LPGA ,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 art. 127 Cost. ; DTF 145 I 52 consid. 5.2; 143 I 227 consid. 4.3.1; 124 I 241 consid. 4a, con riferimenti; Kieser, Kommentar zum Bundesgesetz über den Allgemeinen Teil des Sozialversicherungsrechts ATSG, 2020, n. 209 ad art. 61 LPGA ). ". 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 bis LPGA (come segnatamente nell’ambito della procedura di risarcimento ex art. 52 LAVS), richiamandosi all’art. 29 cpv. 4 Lptca. Secondo la Corte federale infatti, “l'art.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 (STF 8C_265/2021 del 21 luglio 2021). 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(doc. I), e malgrado la vertenza non abbia come oggetto prestazioni assicurative, non si prelevano spese di procedura. Sul tema cfr. pure STF 9C_394/2021 del 3 gennaio 2022. 2.10.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 responsabilità dello Stato ” ai sensi dell’art. 85 cpv. 1 lett. a LTF vedi Moser-Szeless, Le recours en matière de droit pubblic au Tribunal fédéral dans le domaine des assurances sociales – aspects choisis, in HAVE 2010 p. 342; Fretz, La responsabilité selon l’art. 52 LAVS: une comparaison avec les art. 78 LPGA e 52 LPP, in HAVE 2009 p.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 questione di diritto di importanza fondamentale ” – presupposto questo che, secondo l’art. 85 cpv. 2 LTF, renderebbe ammissibile il ricorso in materia di diritto pubblico anche se il valore litigioso non raggiunge i fr. 30'000 – deve essere dimostrata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