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31.2023.5 vom 16. August 2023</w:t>
      </w:r>
    </w:p>
    <w:p>
      <w:r>
        <w:t>TI Tribunale d'appello, 2023-08-16, IT</w:t>
      </w:r>
    </w:p>
    <w:p>
      <w:r>
        <w:rPr>
          <w:b/>
        </w:rPr>
        <w:t xml:space="preserve">Quelle: </w:t>
      </w:r>
      <w:r>
        <w:t>https://mcp.opencaselaw.ch/entscheid/ti_gerichte_31.2023.5</w:t>
      </w:r>
    </w:p>
    <w:p>
      <w:r>
        <w:t>FR: TI_GERICHTE 31.2023.5 du 16 août 2023</w:t>
      </w:r>
    </w:p>
    <w:p>
      <w:r>
        <w:t>IT: TI_GERICHTE 31.2023.5 del 16 agosto 2023</w:t>
      </w:r>
    </w:p>
    <w:p>
      <w:pPr>
        <w:pStyle w:val="Heading2"/>
      </w:pPr>
      <w:r>
        <w:t>Regeste</w:t>
      </w:r>
    </w:p>
    <w:p>
      <w:r>
        <w:t>Ricorso (respinto) contro decisione (su opposizione) di risarcimento nei confronti del gerente della società fallita per non aver esercitato l’obbligo di controllo e vigilanza che gli spettava. Violazione dell’obbligo di comunicare ex art. 35 cpv. 2 OAVS. Nessun motivo di giustificazione/discolpa</w:t>
      </w:r>
    </w:p>
    <w:p>
      <w:pPr>
        <w:pStyle w:val="Heading2"/>
      </w:pPr>
      <w:r>
        <w:t>Erwägungen</w:t>
      </w:r>
    </w:p>
    <w:p>
      <w:r>
        <w:rPr>
          <w:b/>
        </w:rPr>
        <w:t>E. 2</w:t>
      </w:r>
    </w:p>
    <w:p>
      <w:r>
        <w:t>LOG (STF 9C_699/2014 del 31 agosto 2015; 8C_855/2010 dell’11 luglio 2011; 9C_211/2010 del 18 febbraio 2011).</w:t>
      </w:r>
    </w:p>
    <w:p>
      <w:r>
        <w:rPr>
          <w:b/>
        </w:rPr>
        <w:t>E. 2.2</w:t>
      </w:r>
    </w:p>
    <w:p>
      <w:r>
        <w:t>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La giurisprudenza (cfr. in particolare DTF 132 III 523 cosi. 4.6 pag. 530 con riferimenti) e la dottrina ammettono in maniera generale (tacitamente: "stillschweigend", cfr. Meyer, Die Rechtsprechung des Eidgenössischen Versicherungssgerichts zur Arbeitgeberhaftung, in: Temi scelti di diritto delle assicurazioni sociali, Basilea 2006, pag. 33 con riferimento) un nesso di causalità naturale e adeguata tra il comportamento colpevole e il danno subito in seguito per mancato pagamento dei contributi ( STF 9C_394/2016 consid 5 del 21 novembre 2016).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 1991 pag. 135; DTF 129 V 11, 123 V 15; SVR 2001 AHV Nr. 6). Q ualora più datori di lavoro, come per esempio i membri di una società semplice, o più organi di una persona giuridica, abbiano cagionato assieme un danno, essi ne rispondono solidalmente (DTF 119 V 87 consid. 5a, 114 V 214 e sentenze ivi citate). Giusta l’art. 52 cpv. 2 LAVS “s e il datore di lavoro è una persona giuridica, rispondono sussidiariamente i membri dell’amministrazione e tutte le persone che si occupano della gestione o della liquidazione. Se più persone sono responsabili dello stesso danno, esse rispondono solidalmente per l’intero danno”. La Corte federale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 Nel caso in esame, come da giurisprudenza esposta, a seguito del fallimento della società, decretato il 25 febbraio 2022, la Cassa ha rettamente chiesto in via sussidiaria al ricorrente, quale organo della fallita dal 28 luglio 2020 al 15 giugno 2021 (dimissioni effettive il 25 aprile 2021), il risarcimento ex art. 52 LAVS per gli anni 2020 e 2021, quest’ultimo sino al mese di marzo in via solidale con i signori TERZ 1 e __________.</w:t>
      </w:r>
    </w:p>
    <w:p>
      <w:r>
        <w:rPr>
          <w:b/>
        </w:rPr>
        <w:t>E. 2.3</w:t>
      </w:r>
    </w:p>
    <w:p>
      <w:r>
        <w:t>Costituiscono elementi del danno risarcibile, tra l’altro, i contributi AVS/AI/IPG, sia per la parte del salariato che quella del datore di lavoro (STF H 166/02 del 28 ottobre 2002 consid. 4.1; STCA 31.2002.10 del 10 giugno 2002 consid. 2.3;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 H 113/00 del 24 ottobre 2000 consid. 6 e RtiD II 2006 pagg. 368-370).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Nella fattispecie in esame, la Cassa ha allegato alla decisione di risarcimento e alla decisione su opposizione i conteggi determinanti per i contributi AVS/AI/IPG/AD e AF relativi al 2020 e ai mesi da gennaio a marzo 2021, per complessivi fr. 24’374.70 (docc. 1 e 4), importo rimasto per altro in questa sede incontestato. Pertanto, la Cassa ha debitamente documentato l’ammontare del danno.</w:t>
      </w:r>
    </w:p>
    <w:p>
      <w:r>
        <w:rPr>
          <w:b/>
        </w:rPr>
        <w:t>E. 2.4</w:t>
      </w:r>
    </w:p>
    <w:p>
      <w:r>
        <w:t>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Come verrà precisato al consid. 2.8,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w:t>
      </w:r>
    </w:p>
    <w:p>
      <w:r>
        <w:rPr>
          <w:b/>
        </w:rPr>
        <w:t>E. 2.5</w:t>
      </w:r>
    </w:p>
    <w:p>
      <w:r>
        <w:t>Il ricorrente, accettando il mandato di gerente di una Sagl, ha assunto tutti gli oneri che da tale funzione derivano. Conformemente alla giurisprudenza i soci gerenti e i gerenti di una Sagl rispondono dei danni causati dal non pagamento dei contributi sociali come gli organi di una società anonima. Pertanto nell'ambito della responsabilità ex art. 52 LAVS, il socio gerente e il gerente di una Sagl devono essere parificati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H 337/01 del 23 gennaio 2003; STCA 31. 2011.6 dell’11 ottobre 2011 con riferimenti). A tal riguardo ai sensi dell’art. 716a cpv. 1 cifra 5 CO ad ogni amministratore (e di conseguenza anche al gerente/socio gerente di una Sagl) spetta l’alta vigilanza sulle persone incaricate della gestione, in particolare per quanto concerne l’osservanza della legge, dello statuto, dei regolamenti e delle istruzioni. L’amministratore (e nel caso della Sagl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H 33/03 dell’8 ottobre 2003 e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31.2009.1 del 18 novembre 2009 consid. 2.8 confermata dal TF con la STF 9C_29/2010 del 28 ottobre 2010).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31.2003.18 del 28 gennaio 2004 consid. 2.10.2 con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Ne discende che, accettando il mandato di gerente, RI 1 ha assunto tutti gli oneri che da tale funzione derivano e non poteva accontentarsi di un ruolo passivo. A lui incombeva l’obbligo di controllare e vigilare affinché i contributi fossero effettivamente versati. Come si è visto, una tale omissione costituisce una grave violazione del dovere di diligenza cui era tenuto quale organo societario. Le argomentazioni sollevate dall’insorgente non sono sufficienti per liberarlo dalla responsabilità ex art. 52 LAVS. RI 1 non ha peraltro minimamente provato di essere stato impedito di raccogliere informazioni in merito al pagamento dei contributi sociali né ha indicato come e quando ha verificato che i contributi sociali venissero regolarmente pagati. Egli si è limitato ad asserire come fossero __________ e sua moglie __________ ad occuparsi della gestione e della conduzione della società. Tali argomenti non sono di certo esimenti da colpa (STFA del 31 gennaio 2003 nella causa V., H 5/02, consid. 5.2, STCA del 24 marzo 2003 nella causa G., Inc. 31.02.29, consid. 2.7.1). Come si è visto infatti, un amministratore e nel caso di una Sagl, un gestore, non può liberarsi dalla responsabilità ex art. 52 LAVS adducendo di non aver mai partecipato alla gestione della società, pretendendo quindi di aver svolto solo un ruolo subalterno, poiché ciò costituisce già un caso di negligenza grave (cfr. anche STFA del 21 maggio 2003 nella causa A, H 13/03, consid. 3.1).</w:t>
      </w:r>
    </w:p>
    <w:p>
      <w:r>
        <w:rPr>
          <w:b/>
        </w:rPr>
        <w:t>E. 2.6</w:t>
      </w:r>
    </w:p>
    <w:p>
      <w:r>
        <w:t>Il ricorrente sostiene poi di aver accettato tale incarico dietro rassicurazione di __________ (cfr. supra consid. 1.4), allora suo datore di lavoro, “ che ne avrebbe risposto lui in solido ed in prima persona qualora vi fossero stati problemi ”. Produce inoltre una dichiarazione scritta di data 20 maggio 2020, sottoscritta da lui e da __________, con cui quest’ultimo, per quanto qui d’interesse si dichiara “ responsabile nei confronti della Cassa di compensazione AVS, Imposte alla fonte e IVA, nonché di altri debiti della società in misura del 100% (cento percento) ” (doc. A4). Nemmeno tali argomenti possono liberare l’insorgente da una sua responsabilità ex art. 52 LAVS. Infatti come rettamente indicato dalla Cassa i rapporti interni, eventualmente di regresso tra i singoli responsabili, non la concernono ed esulano dalla procedura di risarcimento (STCA del 6 settembre 2021, inc. 31.2021.6 consid. 2.7.5 con riferimenti a STF 9C_195/2009 del 2 febbraio 2010 consid. 4.2, 9C_788/2007 del 29 ottobre 2008 consid. 3.3. con riferimenti; STF H 208/00 e STF H 209/00 del 28 aprile 2003), sicché tali dichiarazioni liberatorie, così come la circostanza che al momento della sua uscita dalla società TERZ 1 e __________ si sarebbero fatti carico di regolarizzare la situazione nei confronti della Cassa, sono irrilevanti ai fini del presente giudizio.</w:t>
      </w:r>
    </w:p>
    <w:p>
      <w:r>
        <w:rPr>
          <w:b/>
        </w:rPr>
        <w:t>E. 2.7</w:t>
      </w:r>
    </w:p>
    <w:p>
      <w:r>
        <w:t>Il ricorrente ritiene inoltre che le pretese risarcitorie della Cassa dovrebbero essere rivolte verso “ i veri attori che hanno lucrato con questa vicenda ”, riferendosi presumibilmente ad __________ e sua moglie, ai quali parrebbe rimproverare di aver agito in qualità di organi di fatto della società esercitando un effettivo potere sulla stessa (cfr. supra consid. 1.4). Occorre al riguardo ricordare che, secondo giurisprudenza, se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(art. 144 cpv. 1 CO). Qualora la Cassa omette di procedere contro uno di loro, nessun’altra autorità può sostituirsi ad essa ed agire al suo posto (DTF 108 V 195 consid. 3; fra le tante cfr. anche STCA 31.2018.1 del 25 ottobre 2018 consid. 2.3.3). Visto quanto sopra, le circostanze addotte dall’insorgente non costituiscono motivi sufficienti per esonerarlo dalla sua responsabilità e per escludere quindi l’esistenza di una negligenza grave.</w:t>
      </w:r>
    </w:p>
    <w:p>
      <w:r>
        <w:rPr>
          <w:b/>
        </w:rPr>
        <w:t>E. 2.8</w:t>
      </w:r>
    </w:p>
    <w:p>
      <w:r>
        <w:t>2.8.1.  L’insorgente non ha del resto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pag.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n. 668 seg. pag. 156 segg.; vedi anche Meyer, Die Rechtsprechung des Eidgenössischen Versicherungsgerichts zur Arbeitgeberhaftung; in: Temi scelti di diritto delle assicurazioni sociali, 2006, pagg.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pagg. 163ss;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2.8.2.  Nella fattispecie in esame, non sono stati invocati validi motivi di giustificazione, rispettivamente di discolpa, nel senso della succitata giurisprudenza. In particolare, quo ai motivi di giustificazione, nemmeno è stato addotto, né quindi comprovato, che la società si trovasse confrontata con una mancanza di liquidità passeggera e che l’omesso pagamento dei contributi fosse da considerare giustificato da prospettive allora esistenti per il salvataggio dell’azienda (in argomento cfr. DTF 123 V 244, 121 V 243, 108 V 188; STF H 134/02 del 30 gennaio 2003, H 297/03 del 4 novembre 2004). Per quanto attiene invece ai motivi di discolpa, come detto, il TF ha circoscritto a due o tre mesi la perdita contributiva tollerabile dal profilo dell'art. 52 LAVS, a condizione che il datore di lavoro abbia regolarmente versato i precedenti contributi, ciò che non corrisponde al caso in esame. Nel caso di specie infatti, la Cassa ha proceduto dal mese di febbraio 2020 con l’invio di diffide di pagamento e, dal mese di agosto 2020 è dovuta ricorrere sistematicamente alla via esecutiva (cfr. docc. 4 e 5). Sia per il 2020 che per il primo trimestre del 2021, la società ha versato solo una minima parte dei contributi lasciando scoperto il resto, per un importo di fr. 24'374.70. Trattandosi di un lungo lasso di tempo ai sensi della succitata giurisprudenza, la negligenza grave deve essere confermata. L’insorgente fa riferimento nel suo allegato ricorsuale ad asseriti diritti da lui non fatti valere al momento delle dimissioni dalla gerenza di FA 1, in ragione delle tensioni professionali dovute in particolare ad una vertenza che lo vedrebbe opposto ad __________ e alla moglie __________ per delle presunte spettanze economiche e vessazioni subite, vertenza, quest’ultima, che sembrerebbe però essere riferita a circostanze estranee alla fattispecie qui in oggetto. Ad ogni modo, per quanto è dato di capire e nella misura in cui vi è da ritenere che l’insorgente proponga al riguardo un argomento addotto a sua discolpa già in sede di opposizione ove aveva lamentato che “ Per quel periodo ho ricevuto dalla FA 1 solo un rimborso spese di poche centinai [recte: centinaia] di CHF che a malapena coprivano le spese di carburante ” e che con ciò intenda avvalersi del mancato pagamento dello stipendio per il lavoro effettuato per la FA 1, tale circostanza, peraltro non minimamente comprovata, nulla cambia nella sostanza la sua responsabilità ex art. 52 LAVS. Infatti, come a ragione evidenziato dalla Cassa, l’eventuale rinuncia ad uno stipendio per contenere i costi aziendali, benché volta a risanare la situazione della società non costituisce motivo di giustificazione e di discolpa allorquando, come nel presente caso, in virtù delle considerazioni che precedono, è stata appurata una responsabilità secondo l’art. 52 LAVS (sul punto cfr. STFA 29 febbraio 1992 nella causa V., J., W. e T. e STCA 31.2019.15 dell’11 febbraio 2020 consid. 2.10). 2.9.  Inoltre è bene rilevare come la grave negligenza trovi ulteriore conferma nel fatto che la Cassa ha constatato una violazione grave dell’obbligo di comunicare i mutamenti della massa salariale previsto dall’art. 35 cpv. 2 OAVS, determinante per stabilire i contributi d’acconto. Secondo la giurisprudenza, agisce in modo non conforme alla legge e colpevolmente ai sensi dell'art. 52 cpv. 1 LAVS il datore di lavoro che, in violazione di quanto disposto dall’art. 35 cpv. 2 OAVS e avuto riguardo alla possibile evoluzione economica, versa acconti troppo bassi senza assicurarsi (ad esempio attraverso la costituzione di riserve) che sufficienti mezzi liquidi siano presenti per tacitare in tempi utili il rispettivo conteggio finale. È ritenuto mutamento importante una differenza della somma dei salari annua di almeno il 10% rispetto all'originaria somma dei salari presumibile (STF 9C_247/2016 del 10 agosto 2016; STCA 31.2016.6 del 5 ottobre 2016). Secondo la giurisprudenza federale, è data una violazione dell'obbligo di informare la Cassa anche qualora la società abbia sì comunicato un aumento della massa salariale, ma ciò non ha comunque evitato un conguaglio con una variazione superiore al 10% (STF 9C_355/2010 del 17 agosto 2010). In merito, nella pronunzia contestata la cassa ha rilevato “[…] una violazione grave dell’obbligo di comunicare, previsto dall’art. 35 cpv. 2 OAVS, ciò che ha avuto come conseguenza per la società di pagare acconti manifestamente inferiori al dovuto. Infatti la società ha fatto in modo che per il 2020 non venissero versati acconti, mentre l’ammontare effettivo dei salari per tale ano è risultato essere di CHF 132'274.00. Per quanto attiene invece al primo trimestre 2021 la cassa ha fatturato l’acconto stabilito su una base di calcolo di CHF 22'500.00, a fronte di salari effettivi in tale periodo di CHF 52'698.00. Ciò significa che l’ammontare dei salari effettivi per il periodo gennaio-marzo 2021 è risultato essere del 134% più alto rispetto alla somma utilizzata per il calcolo dell’acconto .” 2.10.  Per quanto attiene agli ulteriori argomenti addotti dall’insorgente relativi ai suoi trascorsi personali e professionali, gli stessi, come si è già detto in narrativa, esulano dalla fattispecie qui in oggetto e risultano pertanto irrilevanti ai fini del presente giudizio. 2.11.  In conclusione, visto quanto sopra, essendo venuto meno agli obblighi di gerente della società e non sussistendo validi motivi di discolpa e/o di giustificazione, l’insorgente va ritenuto responsabile ex art. 52 LAVS del danno derivante dal mancato pagamento di fr. 24'373.70 per i contributi partiteci dovuti dalla FA 1 nel 2020 e nei mesi da gennaio a marzo 2021. Ne consegue che il ricorso va respinto. 2.12.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2.13.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