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31.2023.21 vom 8. Juli 2024</w:t>
      </w:r>
    </w:p>
    <w:p>
      <w:r>
        <w:t>TI Tribunale d'appello, 2024-07-08, IT</w:t>
      </w:r>
    </w:p>
    <w:p>
      <w:r>
        <w:rPr>
          <w:b/>
        </w:rPr>
        <w:t xml:space="preserve">Quelle: </w:t>
      </w:r>
      <w:r>
        <w:t>https://mcp.opencaselaw.ch/entscheid/ti_gerichte_31.2023.21</w:t>
      </w:r>
    </w:p>
    <w:p>
      <w:r>
        <w:t>FR: TI_GERICHTE 31.2023.21 du 8 juillet 2024</w:t>
      </w:r>
    </w:p>
    <w:p>
      <w:r>
        <w:t>IT: TI_GERICHTE 31.2023.21 del 8 luglio 2024</w:t>
      </w:r>
    </w:p>
    <w:p>
      <w:pPr>
        <w:pStyle w:val="Heading2"/>
      </w:pPr>
      <w:r>
        <w:t>Regeste</w:t>
      </w:r>
    </w:p>
    <w:p>
      <w:r>
        <w:t>Organo di una SA non ha provato l'esistenza di un piano di ristrutturazione ai sensi della business defense e le misure asseritamente intraprese non lasciavano ragionevolmente presumere che lo scoperto contributivo (di lungo corso) sarebbe stato colmato in breve tempo</w:t>
      </w:r>
    </w:p>
    <w:p>
      <w:pPr>
        <w:pStyle w:val="Heading2"/>
      </w:pPr>
      <w:r>
        <w:t>Erwägungen</w:t>
      </w:r>
    </w:p>
    <w:p>
      <w:r>
        <w:rPr>
          <w:b/>
        </w:rPr>
        <w:t>E. 1</w:t>
      </w:r>
    </w:p>
    <w:p>
      <w:r>
        <w:t>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