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31.2023.18 vom 22. April 2024</w:t>
      </w:r>
    </w:p>
    <w:p>
      <w:r>
        <w:t>TI Tribunale d'appello, 2024-04-22, IT</w:t>
      </w:r>
    </w:p>
    <w:p>
      <w:r>
        <w:rPr>
          <w:b/>
        </w:rPr>
        <w:t xml:space="preserve">Quelle: </w:t>
      </w:r>
      <w:r>
        <w:t>https://mcp.opencaselaw.ch/entscheid/ti_gerichte_31.2023.18</w:t>
      </w:r>
    </w:p>
    <w:p>
      <w:r>
        <w:t>FR: TI_GERICHTE 31.2023.18 du 22 avril 2024</w:t>
      </w:r>
    </w:p>
    <w:p>
      <w:r>
        <w:t>IT: TI_GERICHTE 31.2023.18 del 22 aprile 2024</w:t>
      </w:r>
    </w:p>
    <w:p>
      <w:pPr>
        <w:pStyle w:val="Heading2"/>
      </w:pPr>
      <w:r>
        <w:t>Regeste</w:t>
      </w:r>
    </w:p>
    <w:p>
      <w:r>
        <w:t>Ricorsi (respinti) contro decisioni (su opposizioni) di risarcimento nei confronti di soci e gerenti unici della fallita Sagl. Violazione obbligo di alta vigilanza. Domande sospensione procedura, richiamo incarti penali e fallimentare respinte</w:t>
      </w:r>
    </w:p>
    <w:p>
      <w:pPr>
        <w:pStyle w:val="Heading2"/>
      </w:pPr>
      <w:r>
        <w:t>Erwägungen</w:t>
      </w:r>
    </w:p>
    <w:p>
      <w:r>
        <w:rPr>
          <w:b/>
        </w:rPr>
        <w:t>E. 1</w:t>
      </w:r>
    </w:p>
    <w:p>
      <w:r>
        <w:t>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 ricorsi siano stati presentati dopo l’entrata in vigore delle citate modifiche legislative, e malgrado la vertenza non abbia come oggetto prestazioni assicurative, non sono prelevate spese di procedura (cfr. pure STF 9C_394/2021 del 3 gennaio 2022). 2.14.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