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31.2022.4 vom 6. Dezember 2019</w:t>
      </w:r>
    </w:p>
    <w:p>
      <w:r>
        <w:t>TI Tribunale d'appello, 2019-12-06, IT</w:t>
      </w:r>
    </w:p>
    <w:p>
      <w:r>
        <w:rPr>
          <w:b/>
        </w:rPr>
        <w:t xml:space="preserve">Quelle: </w:t>
      </w:r>
      <w:r>
        <w:t>https://mcp.opencaselaw.ch/entscheid/ti_gerichte_31.2022.4_d20191206</w:t>
      </w:r>
    </w:p>
    <w:p>
      <w:r>
        <w:t>FR: TI_GERICHTE 31.2022.4 du 6 décembre 2019</w:t>
      </w:r>
    </w:p>
    <w:p>
      <w:r>
        <w:t>IT: TI_GERICHTE 31.2022.4 del 6 dicembre 2019</w:t>
      </w:r>
    </w:p>
    <w:p>
      <w:pPr>
        <w:pStyle w:val="Heading2"/>
      </w:pPr>
      <w:r>
        <w:t>Regeste</w:t>
      </w:r>
    </w:p>
    <w:p>
      <w:r>
        <w:t>Responsabilità del datore di lavoro. Nel caso in esame l'amministratore di una società datrice di lavoro deve rispondere anche per i contributi scaduti e dovuti antecedentemente l'inizio del suo mandato</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Accettando il mandato di amministratore unico di una società anonima l’insorgente ha assunto tutti gli oneri che da tale funzione derivano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Nel caso concreto, tenuto conto dei suddetti obblighi, quanto sostenuto in sede di opposizione dal ricorrente, ossia che responsabile del dissesto societario è stata la precedente amministratrice ed ex- moglie, non ha alcuna valenza liberatoria. Inoltre, come rettamente rilevato nella decisione contestata, per costante giurisprudenza (STCA 31.2018.12 e 31.2018.22 del 2 dicembre 2019, consid. 2.9. con riferimenti) la responsabilità del datore di lavoro ai sensi dell’art. 52 LAVS non è in relazione alla gestione della società per sé stessa, né a eventuali cause di un fallimento. Va poi ricordato che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4.3)(cfr. in merito consid. 2.8). Nel provvedimento impugnato la Cassa ha anche rilevato che dal 5 giugno 2007 al 30 ottobre 2018 (date di pubblicazioni nel FUSC) il ricorrente è stato iscritto a RC quale direttore con diritto di firma individuale, motivo per cui era ben consapevole della posizione contributiva della società. Al momento della sua entrata in funzione, come si evince dal citato dettaglio dell’evoluzione del debito contributivo, risultavano scoperti il conguaglio per il 2015, parte dei quattro acconti trimestrali come pure il conguaglio per il 2016, gli acconti trimestrali ed il conguaglio per il 2017 e tre acconti trimestrali per il 2018. Ciononostante egli ha accettato la carica di amministratore unico. 2.8.   L’insorgente, evidenziato di aver assunto la carica di amministratore unico solo il 30 ottobre 2018, contesta di dover rispondere anche dei contributi scaduti prima dell’inizio del suo mandato. Egli sostiene che in quel momento la società si trovava in uno stato d’insolvenza visto che dopo poco tempo dalla sua nomina la stessa è stata dichiarata fallita. Evidenzia inoltre che: " La Cassa medesima riconosce che vi erano contributi non pagati già dal 2015. Pertanto già da questo periodo la società aveva difficoltà non essendo in grado di onorare i propri debiti, in particolare per i contributi sociali. Anzi in realtà la Cassa ammette che il datore di lavoro è stato oggetto di diffide già dal mese di maggio 2010 e di procedure esecutive dal mese di giugno 2012. In queste condizioni non si può sostenere che al momento dell'entrata in carica del ricorrente quale amministratore unico del datore di lavoro quest'ultimo aveva la possibilità di saldare i contributi sociali scoperti. Questi contributi, come risulta chiaramente dalla documentazione del fallimento, risultavano irrecuperabili già a quel momento. II ricorrente non può pertanto essere ritenuto responsabile per questo danno non essendovi un nesso di causalità tra il suo agire e il medesimo. Il ricorrente non potrà pertanto essere ritenuto responsabile per il presunto danno subito dalla cassa per il periodo antecedente al 30.10.2018.” Va ricordato che il nuovo amministratore risponde non soltanto dei contributi sociali correnti, ma pure del debito scaduto nel corso del periodo precedente alla sua entrata in funzione. Infatti, secondo giurisprudenza, il nuovo amministratore (rispettivamente gerente o socio gerente)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 cit., AJP 1996,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Secondo giurisprudenza, vi è insolvenza quando un debitore è permanentemente incapace di far fronte ai suoi obblighi finanziari. In tal caso, un creditore non può più sperare nel pagamento. L'insolvenza è data se vi sono degli attestati di carenza di beni, se è stato aperto un fallimento o se è stato concluso un concordato con cessione dei beni. È riconosciuta un’insolvenza anche quando sono presenti caratteristiche conclusive che dimostrano la continua inadempienza di una persona verso i propri obblighi finanziari, come quando essa ha fondi insufficienti a tempo indeterminato per far fronte alle proprie obbligazioni scadute. Per contro, in caso di difficoltà finanziarie di corto termine, l'insolvenza non è ancora data; deve trattarsi infatti di una difficoltà durevole. D'altra parte, vi è sovraindebitamento se i debiti della società non sono coperti né al valore di esercizio né al valore di alienazione, come prescritto dall’art. 725 cpv. 2 seconda frase CO (STF 9C_538/2019 del 19 giugno 2020 consid. 4.1. con riferimenti di giurisprudenza). Certo, come rilevato sopra dal ricorrente, nel caso in disamina la società datrice di lavoro è stata oggetto di diffide già dal mese di maggio 2010 e di procedure esecutive dal mese di giugno 2012. Poiché oggetto del danno sono i contributi dal 2015 al 2019 (per il 2014 gli oneri sociali non versati riguardano, come visto, la ripresa salariale accertata durante il controllo del datore di lavoro del 27 maggio 2019), almeno quelli sino al 2014 sono stati versati. Premesso questo, nella decisione contestata la Cassa ha giustamente fatto notare che “… non erano stati rilasciati attestati di carenza beni per i contributi non pagati dal 2015 al 2019 mentre l’insorgenza del danno è stata constata unicamente al momento dell’apertura del fallimento della società avvenuta con il decreto del 6 dicembre 2019 (pubblicazione FUSC del 28 gennaio 2020) ”. Non solo, sempre nel provvedimento impugnato, l’amministrazione a ragione ha sottolineato che “… secondo quanto dichiarato dal signor RI 1 in occasione del verbale d’interrogatorio UF (doc. C) e dall’analisi dei documenti contabili relativi agli anni dal 2016 al 2018 (doc. D-D2) non risulta che la ditta fosse sovraindebitata ai sensi dell’art. 725 cpv. 2 CO, ritenuto che gli attivi a disposizione erano sufficienti per coprire il capitale dei terzi” . Infine, con la risposta di causa la Cassa ha pertinentemente osservato che nell’ambito dell’interrogatorio davanti all’UF (12 dicembre 2019) il ricorrente “… aveva dichiarato che il capitale sociale era di CHF 100'000, che le perdite riportate erano di CHF 17'198,22 e quelle accumulate nell’anno corrente di CHF 2'000 (cfr., verbale interrogatorio UF, allegato C alla decisione su opposizione pag. 9 pto 10). Ne consegue che, a quel giorno, non si era di fronte nemmeno alla situazione di perdita di capitale di cui all’art. 725 cpv. 1 CO. Dai bilanci 2016, 2017 e 2018 risulta poi che la società non era sovraindebitata, tenendo conto in particolare che al 31 dicembre 2018 vantava un credito di CHF 246'639,10 nei confronti del ricorrente e uno di CHF 29'551,85 nei confronti della di lui moglie (cfr. la voce “conto privato (correntista) nel bilancio 2018, pag. 2 e verbale interrogatorio UF, pag. 5) ”. In queste circostanze, non trovandosi il 30 ottobre 2018 la società in stato d’insolvenza o di sovraindebitamento, il ricorrente deve rispondere anche dei contributi non versati relativi al periodo precedente la sua nomina quale amministratore unico. 2.9.   L a Cassa ha del resto considerato il ricorrente come organo di fatto prima del 20 ottobre 2018. Al riguardo, l 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STFA H 234/02 + 237/02 + 239/02 del 16 aprile 2003 consid. 7.3; STFA H 405+406/00 del 23 agosto 2002 consid. 4.3; STFA H. 51/00 del 24 gennaio 2002 consid. 6a; Reichmuth, op cit., § 4 n. 323s. pagg. 55s.; Nussbaumer, Aktuelle Fragen aus dem Beitragsrecht den AHV, pag. 102, in: Veröffentlichungen des Schweizerischen Instituts für Verwaltungskurse an der Universität St. Gallen, volume 44, 1998; Nussbauer, op. cit.,  AJP 1996, pag. 1075; Dieterle/Kieser, Der Schadensersatzprozess nach Art. 52 AHVG, in: Der Schweizer Treuhändler 1995, pag. 661s),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cfr. anche Grisanti, I vari tipi di organi e le implicazioni per la responsabilità ai sensi dell’art. 52 LAVS, in RtiD II 2013 pagg. 438 ss.).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sottolineatura del redattore). A determinate condizioni possono assumere la qualità di organo anche il direttore, il procuratore ex art. 458 CO o l'amministratore di fatto (DTF 119 II 255, 117 II 441 consid. 2b, cfr. anche STFA H 83/04 del 1° settembre 2005, STFA 51/00 del 24 gennaio 2002). Ritornando al caso in esame, la Cassa ha evidenziato che il ricorrente, allorquando era direttore della società, aveva inoltrato una richiesta di modifica degli acconti del 2015 (doc. A) e firmato la dichiarazione dei salari relativa a quell’anno (doc. B). Il ruolo di amministratore di fatto non è stato del resto giustamente contestato dal ricorrente. Infatti, dal già citato verbale d’interrogatorio 12 dicembre 2019 dell’UF risulta che dal 24 aprile 2006 l’insorgente era azionista e deteneva il controllo della società (doc. 3/C). Anche per questo motivo correttamente la Cassa gli ha imputato gli oneri sociali scaduti prima del 30 ottobre 2018. 2.10.   Per quel che concerne la responsabilità del ricorrente, egli non ha indicato – né risultano dagli atti – quali misure sono state intraprese affinché la società liquidasse gli oneri sociali dovuti prima e dopo la sua nomina quale amministratore. Nella decisione impugnata la Cassa ha anche rilevato che per dal 2017 al 2019 la società non aveva riversato l’intera quota trattenuta ai propri dipendenti e che questo configura una violazione delle prescrizioni ex artt. 14 cpv. 1 e 87 cpv. 3 LAVS. Non si ravvisa inoltre l’esistenza o meno di motivi di discolpa rispettivamente di giustificazione per l’omesso pagamento dei contributi sociali, che nemmeno il ricorrente ha fatto valere.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Nella fattispecie in esame, dagli estratti relativi all’evoluzione dei pagamenti dei contributi per gli anni 2015 – 2019 si evince come a partire dall’acconto del I trimestre 2015 la società sia stata sistematicamente diffidata e precettata (doc. 4 A – C). Risulta inoltre che non sono stati saldati integralmente i contributi degli anni 2015, 2016 e sono rimasti quasi totalmente scoperti gli oneri sociali dal 2017 al 2019. In queste condizioni si può affermare che i problemi di liquidità della società erano cronici, rimanendo scoperti contributi dovuti sull’arco di un lungo periodo. Trattandosi di un lungo lasso di tempo, la negligenza grave deve essere riconosciuta. Come detto, il TF ha circoscritto a due o tre mesi la perdita contributiva tollerabile dal profilo dell'art. 52 LAVS, a condizione che il datore di lavoro abbia regolarmente versato i precedenti contributi, ciò che non corrisponde al caso in esame. In queste circostanze non risultano dati gli estremi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 In conclusione, visto quanto sopra, avendo il ricorrente, quale amministratore/organo di fatto della FA 1, violato le prescrizioni AVS per lo meno per negligenza grave e non sussistendo validi motivi di discolpa e/o di giustificazione in ordine al mancato versamento degli oneri sociali, la sua responsabilità ex art. 52 LAVS va confermata e di conseguenza anche la decisione contestata. 2.11.   Con scritto 18 marzo 2022 il ricorrente ha elencato i mezzi di prova da assumere: " (…) il richiamo dall'Ufficio dei fallimenti e dall’Ufficio di esecuzione dell'intero incarto concernente la ditta FA 1, in particolare gli estratti attestanti le esecuzioni in corso nei confronti della ditta fallita al 30.10.2018. Si chiede pure l'audizione personale del ricorrente e l'audizione testimoniale della ex moglie TERZ 1 in merito alle circostanze e ai motivi dell’assunzione della carica di amministratore unico da parte del ricorrente. Si chiede parimenti audizione testimoniale del contabile della ditta fallita signor __________”.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 Cost., cfr. DTF 124 V 94 consid. 4b). Nel caso in esame la documentazione agli atti è sufficiente per un giudizio e quindi non è necessario dare seguito alla succitata richiesta di assunzione prove. Non è necessario il richiamo degli estratti relativi alle esecuzioni pendenti al 30 ottobre 2018, parrebbe per dimostrare lo stato d’insolvenza e/o di sovraindebitamento della società con la conseguente esenzione da parte del ricorrente di rispondere dei contributi arretrati prima della sua nomina di amministratore unico. I motivi per negare tale evenienza sono stati diffusamente esplicati al consid. 2.8 e il chiesto richiamo non modificherebbe l’esito del presente giudizio. Inoltre, indipendentemente dall’insolvenza e/o dall’eccedenza di debiti, è stato appurato che prima del 30 ottobre 2018 il ricorrente aveva agito quale organo di fatto della società con tutte le conseguenze del caso in merito al mancato pagamento dei contributi (cfr. consid. 2.9). Altrettanto non necessaria è l’audizione del ricorrente e della ex moglie e precedente amministratrice. Non è infatti rilevante per il giudizio sapere le circostanze ed i motivi dell’assunzione della carica di amministratore unico da parte dell’insorgente. Va poi fatto presente che l ’audizione del ricorrente può essere rifiutata senza per questo ledere il diritto di essere sentito sancito dall'art. 29 cpv. 2 Cost. fed. e dall'art. 6 n. 1 CEDU. Infatti, secondo la giurisprudenza federale, l’obbligo di organizzare un dibattimento pubblico ai sensi dell’art. 6 n. 1 CEDU presuppone una richiesta chiara e inequivocabile; semplici domande di assunzione di prove, come ad esempio istanze d i audizione personale o di interrogatorio di parti o di testimoni, oppure richieste di sopralluogo, non bastano per creare un simile obbligo (STF 9C_660/2015 del 24 marzo 2016; STF I 472/06 del 21 agosto 2007, consid. 2 che ha confermato questo principio; DTF 122 V 47; cfr. pure DTF 124 V 90, consid. 6). Da ultimo, si può anche prescindere dall’audizione testimoniale del contabile della fallita. Non è infatti dato di sapere cosa di diverso rispetto a quanto emerso chiaramente dagli atti di causa il contabile avrebbe potuto riferire.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