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31.2022.3 vom 16. Mai 2022</w:t>
      </w:r>
    </w:p>
    <w:p>
      <w:r>
        <w:t>TI Tribunale d'appello, 2022-05-16, IT</w:t>
      </w:r>
    </w:p>
    <w:p>
      <w:r>
        <w:rPr>
          <w:b/>
        </w:rPr>
        <w:t xml:space="preserve">Quelle: </w:t>
      </w:r>
      <w:r>
        <w:t>https://mcp.opencaselaw.ch/entscheid/ti_gerichte_31.2022.3</w:t>
      </w:r>
    </w:p>
    <w:p>
      <w:r>
        <w:t>FR: TI_GERICHTE 31.2022.3 du 16 mai 2022</w:t>
      </w:r>
    </w:p>
    <w:p>
      <w:r>
        <w:t>IT: TI_GERICHTE 31.2022.3 del 16 maggio 2022</w:t>
      </w:r>
    </w:p>
    <w:p>
      <w:pPr>
        <w:pStyle w:val="Heading2"/>
      </w:pPr>
      <w:r>
        <w:t>Erwägungen</w:t>
      </w:r>
    </w:p>
    <w:p>
      <w:r>
        <w:rPr>
          <w:b/>
        </w:rPr>
        <w:t>E. 1</w:t>
      </w:r>
    </w:p>
    <w:p>
      <w:r>
        <w:t>v.OAVS (in vigore sino al 31 dicembre 2002), è un termine di prescrizione e non di perenzione (SVR 2005 AHV n. 15; STFA H 136/05 del 23 novembre 2006). Secondo l’art. 52 cpv. 2 LAVS, nel tenore in vigore dal 1° gennaio 2020, “il diritto al risarcimento del danno si prescrive secondo le disposizioni del Codice delle obbligazioni sugli atti illeciti ”, ciò che comporta il risarcimento del danno si prescrive in tre anni dal momento in cui la Cassa ha avuto conoscenza del danno, ma in ogni caso in dieci anni dall’insorgere del danno, ai sensi dell’art. 60 cpv. 1 CO. Ora, coincidendo il momento della conoscenza del danno con il rilascio degli attestati di carenza beni avvenuto il 19 febbraio 2020 (sub. doc. 12) – successivamente quindi all’entrata in vigore del nuovo art. 52 cpv. 2 LAVS – è applicabile il termine di prescrizione di tre anni. Visto che la decisione di risarcimento 15 settembre 2021 è stata emessa entro tre anni dal rilascio degli ACB, il credito risarcitorio non è prescritto. 2.3.   Con la decisione contestata la Cassa ha fatto valere nei confronti del ricorrente il risarcimento ex art. 52 LAVS di fr. 19'343,05 per contributi paritetici AVS/AI/AD/IPG e AF non soluti dalla società per gli anni dal 2017 al 2019, in via solidale con TERZ 1 (amministratrice unica dal 30 settembre 2016 al 17 aprile 2019; date di pubblicazioni nel FUSC), quest’ultima limitatamente a fr. 10'109,60. Al riguardo, va ricordato che costituiscono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Ritornando al caso in esame, la Cassa ha debitamente comprovato il danno da lei subito, avendo prodotto i conteggi dei contributi rimasti scoperti, allegandoli alla decisione di risarcimento. L’amministrazione ha anche allestito uno specchietto relativo all’evoluzione del debito contributi degli anni 2017, 2018 e 2019 (doc. 7, 8 e 9). A decorrere dal 31 marzo 2019 la società non ha avuto alle proprie dipedenze alcun collaboratore (cfr. email 31 ottobre 2019 del ricorrente alla Cassa; sub doc. 12). A seguito dell’avvenuto primo pagamento rateale da parte di TERZ 1 (cfr. consid. 1.13) – anch’essa destinataria di una decisione di risarcimento, cresciuta in giudicata, e quindi debitrice solidale insieme al ricorrente – e dell’intervenuto accredito della ridistribuzione della tassa di CO2 (cfr. consid. 1.5), l’ammontare del danno va aggiornato a fr. 19'213,60. 2.4.   Nel caso in esame, il danno di cui è chiesto il risarcimento è costituito dal mancato pagamento dei contributi paritetici dovuti dalla società antecedenti all’entrata in carica del ricorrente quale amministratore unico. Va ricordato che il nuovo amministratore risponde non soltanto dei contributi sociali correnti, ma pure del debito scaduto nel corso del periodo precedente alla sua entrata in funzione. Infatti, secondo giurisprudenza, il nuovo amministratore (rispettivamente gerente o socio gerente)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STFA H 156/05 del 16 gennaio 2007 consid. 7.2). Secondo giurisprudenza, vi è insolvenza quando un debitore è permanentemente incapace di far fronte ai suoi obblighi finanziari. In tal caso, un creditore non può più sperare nel pagamento. L'insolvenza è data se vi sono degli attestati di carenza di beni, se è stato aperto un fallimento o se è stato concluso un concordato con cessione dei beni. È riconosciuta anche quando sono presenti caratteristiche conclusive che dimostrano la continua inadempienza di una persona verso i propri obblighi finanziari, come quando essa ha fondi insufficienti a tempo indeterminato per far fronte alle proprie obbligazioni scadute. Per contro, in caso di difficoltà finanziarie di corto termine, l'insolvenza non è ancora data; deve trattarsi infatti di una difficoltà durevole. Trattasi di sovraindebitamento se i debiti della società non sono coperti né al valore di esercizio né al valore di alienazione, come prescritto dall’art. 725 cpv. 2 seconda frase CO (STF 9C_538/2019 del 19 giugno 2020 consid. 4.1. con riferimenti di giurisprudenza). Il cpv. 1 dell’art. 725 CO prevede che se risulta dall’ultimo bilancio annuale che la metà del capitale azionario e delle riserve legali non è più coperta, il consiglio d’amministrazione convoca immediatamente l’assemblea generale e le propone misure di risanamento. Il cpv. 2 del medesimo articolo dispone che se esiste fondato timore che la società abbia un’eccedenza di debiti, deve essere allestito un bilancio intermedio soggetto alla verifica di un revisore abilitato. Ove risulti da tale bilancio che i debiti sociali non sono coperti né stimando i beni secondo il valore d’esercizio, né stimandoli secondo il valore di alienazione, il consiglio d’amministrazione ne avvisa il giudice, salvo che creditori della società accettino, per questa insufficienza d’attivo, di essere relegati a un grado inferiore a quello di tutti gli altri creditori della società. Nel caso in esame dagli atti non emerge, né del resto è stato provato, che al momento della entrata in carica del ricorrente quale amministratore unico, la società si trovasse già in uno stato d’insolvenza o di sovraindebitamento. Al riguardo, nella decisione contestata la Cassa ha pertinentemente evidenziato: " Nel caso concreto, l’insolvenza della società è constatata unicamente dal rilascio degli attestati di carenza di beni del 19 febbraio 2020, quindi ben 10 mesi dopo la nomina dell’opponente. Oltre a ciò, dall’analisi dei documenti relativi alla contabilità constata ricostruita dal signor RI 1 relativa agli anni dal 2018 al 2020, in particolare dal bilancio 2018 risulta che gli attivi a disposizione fossero sufficienti a coprire il capitale di terzi, rispettivamente che la perdita riportata a bilancio, di CHF 26'806,62 sommata alla perdita di tale anno, di CHF 29'441,94, pari a complessivi fr. 56'248,56 non aveva assorbito l’intero capitale azionario di CHF 100'000.00. Il fatto che tale capitale fosse liberato solo al 50% è irrilevante ritenuto che la società vantava comunque un credito di CHF 50'000.00 nei confronti degli azionisti. Ad ogni buon conto, la società si trovava tutt’al più in una situazione di perdita di capitale disciplinata dall’art. 725 cpv. 1 CO e non in uno stato di eccedenza di debiti (725 cpv. 2 CO) ritenuto che gli attivi coprivano ancora il capitale di terzi. Del resto, se la società fosse stata sovraindebitata al momento dell’entrata in carica del signor RI 1, lo stesso avrebbe dovuto depositare immediatamente i bilanci, cosa che è evidentemente non è avvenuta ritenuto che il fallimento della FA 1 è stato decretato solamente il 10 novembre 2020. Pure la diffida ex art. 155 ORC (società priva di attivi realizzati) è stata pubblicata sul FUSC il 30 giugno 2020, oltre ad un anno dopo l’assunzione di carica dell’opponente” (pag. 7 della decisione su opposizione 29 novembre 2021). A tale esposizione va prestata piena adesione. Visto quanto sopra, correttamente la Cassa ha imputato al ricorrente il danno fatto valere con la decisione contestata.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2.6.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2.7.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2.8.   Secondo giurisprudenza, incorrono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(cfr., in questo senso, la STCA del 13 aprile 2017 inc. 31.2016.13 e la giurisprudenza ivi citata). La passività a dispetto della conoscenza (eventuale) di mancati pagamenti di contributi deve essere considerata un’inosservanza per negligenza grave delle prescrizioni (RCC 1989 pag. 115). Nel caso in disanima, quanto asserito dal ricorrente – ossia di aver trovato all’inizio del suo mandato un dissesto contabile e documentale – non lo esime da una sua responsabilità. Prima di accettare la carica, egli avrebbe dovuto accertarsi della situazione finanziaria e, soprattutto, debitoria della società. Inoltre, se – come sostenuto – al momento di assumere il mandato di amministratore l’insorgente non aveva avuto accesso alla documentazione, egli non avrebbe dovuto accettare tale mandato o perlomeno avrebbe dovuto esigere immediatamente il pagamento dell'arretrato contributivo. Va poi fatto presente come egli stesso fosse ben consapevole di andare incontro ad una gestione societaria problematica, visto che, come riportato nel ricorso, aveva assunto la carica di amministratore “… su richiesta degli azionisti, in quanto da alcuni esercizi contabili alla data della sua nomina non erano mai state convocate assemblee ordinarie per l’approvazione dei bilanci e per la valutazione della gestione societaria. E ciò al fine di cercare di ristabilire il corretto equilibrio tra gli organi societari” (pag. 5/6 del ricorso). Questa circostanza avrebbe dovuto spingere il ricorrente ad essere più prudente ad accettare un simile incarico. 2.9.   Nelle osservazioni 19 febbraio 2022 (VI) il ricorrente sostiene che in data 19 ottobre 2019 l’Ufficio esecuzioni di Lugano era a conoscenza che la società aveva recuperato l’IVA per CHF 45'000, somma che è stata utilizzata per dei pagamenti a favore dell’Ufficio (punto no. 5) e che al 6 febbraio 2020 la società aveva effettuato ulteriori pagamenti, sempre allo stesso ufficio, rimanendo un saldo di ca. CHF 31'000 (punto no.6). Il ricorrente sostiene che alla data di pignoramento (19 febbraio 2020) il cursore aveva erroneamente emesso un ACB senza interpellarlo, ancorché vi erano a disposizione dei fondi sufficienti per far fronte agli scoperti societari (punto no. 7). Ora, dal “verbale interno di operazioni di pignoramento” del 19 febbraio 2020 risulta invece che il cursore aveva chiesto all’ex amministratore informazioni sull’esistenza o meno di beni pignorabili, ricevendo risposta negativa (“Richiesto il Signor RI 1, dichiara che la società non è operativa e non possiede beni di sorta da sottoporre a pignoramento”; doc. A10). Inoltre, rettamente nella presa di posizione 28 febbraio 2022 la Cassa ha evidenziato: “(…) Se, come affermato dal ricorrente, la FA 1 disponeva della liquidità sufficiente per far fronte agli scoperti al momento dell’emissione degli ACB del 19 febbraio 2020 – ritenuto che egli era in carica quale amministratore unico già dal 17 aprile 2019 – nulla gli impediva di procedere al saldo del dovuto. Visto che ciò non è evidentemente avvenuto, la sua responsabilità ex art. 52 LAVS è chiara” (VIII). 2.10.   Occorre tuttavia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668s pp. 156ss; vedi anche Meyer, Die Rechtsprechung des Eidgenössischen Versicherungsgerichts zur Arbeitgeberhaftung; in: Temi scelti di diritto delle assicurazioni sociali, 2006, pp.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cit., n. 696 ss pp. 163 ss; cfr. anche Meyer,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A sua discolpa il ricorrente sostiene di aver fatto tutto il possibile per salvare la società. In particolare evidenzia le diverse misure da lui intraprese per limitare e diminuire i debiti della società, incluse le iniziative – elencate nelle osservazioni del 15 novembre 2021 – messe in atto per cercare di risanare la situazione finanziaria ed economica. Ad esempio, riconsegnando gli autoveicoli non utilizzati, saldando in via transattiva i debiti dovuti alle spese telefoniche e cancellando, quale amministratore unico della __________, le pigioni che la FA 1 doveva a quest’ultima. Occorre ricordare, come correttamente evidenziato dalla Cassa in sede di risposta di causa, che: " (…) il Tribunale federale ha precisato che per giustificare la sospensione dei pagamenti nell’ambito di una prevista riorganizzazione della società o della sua vendita, occorre che questa sia provvisoria in base a criteri oggettivi e a una seria valutazione della situazione. La semplice ricerca di fondi o potenziali acquirenti e qualsiasi impegno assunto su questa base non sono sufficienti; ci deve essere una prova tangibile che, come parte di un piano di recupero concreto e realistico, possono essere seriamente raccolti fondi e vi sia una reale prospettiva che ciò si concretizzi effettivamente in un tempo ragionevole. Determinante è che tale valutazione avvenga ex ante (STF 9C 436/2016 del 26 gíugno 20'l7; Marco Reichmuth, Die Haftung des Arbeitgebers und seiner Organe nach Art. 52 AHVG, Zürich, nota marginale 675 con vari riferimenti alla giurisprudenza).” Ora, secondo il TCA le misure attuate dal ricorrente non rappresentano una chiara prova di un concreto e valido piano di risanamento che permetteva di saldare entro breve termine i contributi scaduti. In primo luogo non è stata fatta valere una ricerca di fondi o di potenziali acquirenti per risanare la società. Inoltre, l’asserito risanamento non risultava essere concreto e tantomeno certo. Al riguardo, nella decisione contestata (pag. 9) la Cassa ha pertinentemente evidenziato: " (…) che il</w:t>
      </w:r>
    </w:p>
    <w:p>
      <w:r>
        <w:rPr>
          <w:b/>
        </w:rPr>
        <w:t>E. 5</w:t>
      </w:r>
    </w:p>
    <w:p>
      <w:r>
        <w:t>novembre 2019 (quasi cinque mesi dopo l’entrata in carica), l’opponente chiedeva alla __________ di sospendere una procedura esecutiva per “ permettermi di avere un quadro definitivo della massa creditoria e di proporre le corrette procedure per arrivare a sanare la situazione ”. Dallo scritto del 17 dicembre 2019 indirizzato al medesimo istituto bancario di evince che nemmeno a quel momento la pianificazione del risanamento era terminata. Peraltro, nella fattispecie il signor RI 1 parlava di liquidazione e non più di risanamento. Solamente il 28 gennaio 2020, l’opponente per la prima volta parla di “regime di insolvenza ” e nuovamente ribadiva che la pianificazione per il risanamento societario era ancora in corso”. (Documentazione citata sub doc. 12). Quindi, con riferimento a quanto è accaduto con la banca creditrice, è molto verosimile che quale amministratore della società il ricorrente inizialmente (novembre 2019) aveva chiesto ai creditori la sospensione delle esecuzioni ai fini di un (ipotetico) risanamento, senza essere in chiaro (a dicembre 2019) sull’ammontare degli scoperti e quale indirizzo (risanamento o liquidazione) seguire. Nel gennaio 2020 egli aveva ipotizzato un regime di insolvenza. In queste circostanze, come detto, non vi erano i presupposti di un concreto e valido piano di risanamento che avrebbe permesso alla società di saldare entro breve termine i contributi scaduti. Non va poi dimenticato che, come schematicamente indicato nella risposta di causa, quando il ricorrente è subentrato nell’amministrazione della società la Cassa aveva già diffidato (senza successo) il pagamento degli acconti di novembre e dicembre 2018; quello di gennaio 2019 era scaduto. Durante il periodo di carica quale amministratore non è stato versato alcun contributo, nonostante diffide e precetti per gli acconti di febbraio-maggio 2019, per il conguaglio del 2018 e per la rettifica di chiusura 2017 (cfr. anche specchietto dell’evoluzione del debito contributivo dal 2017 al 2019 in doc. 7,8 e 9). Visto quanto sopra, risulta come la maggior parte dei contributi rimasti impagati riguardano fatture emesse, diffidate e precettate durante il periodo in cui il ricorrente era organo formale della società. Non si è inoltre in presenza di un breve periodo di mancato pagamento di contributi, eccezionalmente previsto dalla giurisprudenza quale motivo di giustificazione, che è solitamente di due o tre mesi (cfr. STF 9C_812/2007 del 12 dicembre 2008 consid. 3.3 con riferimenti; cfr. in dettaglio Reichmuth, cit., n. 696 ss pp. 163 ss; cfr. anche Meyer, cit., pag. 36). Infine, nel memoriale 14 aprile 2022 (XVII; cfr. consid. 1.7) il ricorrente ha fra l’altro evidenziato che senza il suo intervento la Cassa avrebbe avuto un danno maggiore. A prescindere dal fatto che, come detto, durante il periodo in cui egli stato amministratore la società non ha versato alcun onere sociale, quanto da lui addotto non costituisce comunque un motivo di giustificazione e/o di discolpa. 2.11.   Come si evince dal dispositivo della decisione risarcitoria, l’ex amministratrice TERZ 1 risulta essere debitrice solidale con il ricorrente. Al riguardo va ricordato che nel caso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vedi anche STCA 31.2017.4 del 18 settembre 2017 consid. 2.12; R eichmuth, op. cit., § 4 n. 289 pagg. 71ss) Il ricorrente stigmatizza la cattiva gestione della precedente amministratrice, alla quale va addossata l’intera responsabilità del mancato pagamento dei contributi. Secondo giurisprudenza federale, l'art. 759 cpv. 1 CO non è applicabile nel presente ambito per giustificare una riduzione del risarcimento in relazione alla gravità dell'errore commesso dai presunti responsabili (STFA 13 novembre 2000 nella causa S, H 238/98, consid. 4b; Pratique VSI 1996 pag. 306). Quindi, l’asserita cattiva gestione della società da parte di TERZ 1 non permette una riduzione né tantomeno l’esonero della responsabilità del ricorrente. Determinante è che le circostanze addotte dall’insorgente, come visto, non costituiscono motivi sufficienti per esonerarlo dalla sua responsabilità e per escludere quindi l’esistenza di una negligenza grave. 2.12.   In conclusione, non essendo ravvisabile alcun valido motivo di giustificazione, rispettivamente di discolpa, il ricorrente deve essere ritenuto responsabile ex art. 52 LAVS del danno subito dalla Cassa ammontante ora a fr. 19'213,60 (cfr. consid. 2.3). 2.13. Conformemente all’art. 61 cpv. 1 lett. g prima frase LPGA il ricorrente che vince la causa ha diritto al rimborso delle ripetibili secondo quanto stabilito dal tribunale delle assicurazioni. Nel caso in esame, l’importo del danno è stato ridotto a seguito del pagamento da parte di TERZ 1 della prima rata e dell’intervenuto accredito della ridistribuzione della tassa sul CO2 (cfr. consid. 2.3), circostanze, queste, che non hanno inciso sulla posizione del ricorrente. Ritenuto che l’obbligo di risarcimento ex art. 52 LAVS è stato confermato con il presente giudizio e che quindi non può essere ravvisata una vittoria, nemmeno parziale, dell’insorgente, tantomeno una soccombenza da parte della Cassa, appare giustificato non assegnare ripetibili (cfr. al riguardo: STFA H 67/01 del 5 agosto 2002 citata in Reichmuth, op. cit., n. 1129 pag. 268 e STCA del 22 febbraio 2006 inc. 31.2005.7). 2.14.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2.15.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