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31.2022.23 vom 16. Februar 2023</w:t>
      </w:r>
    </w:p>
    <w:p>
      <w:r>
        <w:t>TI Tribunale d'appello, 2023-02-16, IT</w:t>
      </w:r>
    </w:p>
    <w:p>
      <w:r>
        <w:rPr>
          <w:b/>
        </w:rPr>
        <w:t xml:space="preserve">Quelle: </w:t>
      </w:r>
      <w:r>
        <w:t>https://mcp.opencaselaw.ch/entscheid/ti_gerichte_31.2022.23</w:t>
      </w:r>
    </w:p>
    <w:p>
      <w:r>
        <w:t>FR: TI_GERICHTE 31.2022.23 du 16 février 2023</w:t>
      </w:r>
    </w:p>
    <w:p>
      <w:r>
        <w:t>IT: TI_GERICHTE 31.2022.23 del 16 febbraio 2023</w:t>
      </w:r>
    </w:p>
    <w:p>
      <w:pPr>
        <w:pStyle w:val="Heading2"/>
      </w:pPr>
      <w:r>
        <w:t>Regeste</w:t>
      </w:r>
    </w:p>
    <w:p>
      <w:r>
        <w:t>Ricorso contro decisione su opp. di risarcimento ex art. 52 LAVS. Responsabilità sussidiaria dell’organo della SA. Ricorrente ignora(va) cosa sono i contributi paritetici e le circostanze che adduce (malattia e periodo pandemico) non costituiscono validi motivi di giustificazione o di discolpa</w:t>
      </w:r>
    </w:p>
    <w:p>
      <w:pPr>
        <w:pStyle w:val="Heading2"/>
      </w:pPr>
      <w:r>
        <w:t>Erwägungen</w:t>
      </w:r>
    </w:p>
    <w:p>
      <w:r>
        <w:rPr>
          <w:b/>
        </w:rPr>
        <w:t>E. 2</w:t>
      </w:r>
    </w:p>
    <w:p>
      <w:r>
        <w:t>LOG (STF 9C_699/2014 del 31 agosto 2015; 8C_855/2010 dell’11 luglio 2011; 9C_211/2010 del 18 febbraio 2011). 2.2.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consid. 4.6 pag. 530 con riferimenti) e la dottrina ammettono in maniera generale (tacitamente: "stillschweigend", cfr. Meyer, Die Rechtsprechung des Eidgenössischen Versicherungssgerichts zur Arbeitgeberhaftung, in: Temi scelti di diritto delle assicurazioni sociali, Basilea 2006, pag. 33 con riferimento) un nesso di causalità naturale e adeguata tra il comportamento colpevole e il danno subìto in seguito per mancato pagamento dei contributi (STF 9C_ 238/2017 del 5 luglio 2017 consid. 5.3.2 e 9C_394/2016 del 21 novembre 2016 consid. 5). Secondo l'art. 14 cpv. 1 LAVS (e gli artt. 34 segg. OAVS) al datore di lavoro spetta l’obbligo (di diritto pubblico) di conteggiare e versare i contributi (Pratique VSI 1994 pag. 108 consid. 7a con riferimenti; DTF 114 V 221). Il venire meno a questo obbligo costituisce una violazione di prescrizioni ai sensi dell’art. 52 LAVS e comporta il risarcimento integrale del danno (Pratique VSI 1993 pag. 84 consid. 2a; DTF 111 V 173 consid. 2, 108 V 186 consid. 1a e 192 consid. 2a; RCC 1985 pag. 646 consid. 3a e 650 consid. 2). Nell’ipotesi in cui il datore di lavoro è una persona giuridica, che è stata sciolta allorché la pretesa viene fatta valere, possono essere convenuti, in via sussidiaria, i suoi organi responsabili (DTF 123 V 12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cpv. 2 dell’art. 52 LAVS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Il Tribunale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Nella fattispecie in esame, con riferimento alla menzionata giurisprudenza, a seguito del rilascio (il 12 novembre 2021) di attestati carenza beni, come pure del fallimento (decretato il 27 ottobre 2022, cfr. supra consid. 1.2.) della FA 1, la Cassa ha rettamente chiesto in via sussidiaria a RI 1, quale organo dal 2019 della fallita (cfr. supra consid. 1.1.), il risarcimento ex art. 52 LAVS per i contributi paritetici non versati dalla società negli anni 2020 e 2021. 2.3.  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Nella fattispecie concreta la Cassa ha allegato alla decisione di risarcimento e alla decisione su opposizione i conteggi determinanti per i contributi AVS/AI/IPG/AD e AF relativi al 2020 e 2021 per complessivi fr. 38'467.10 (docc. 1 e doc. 5), poi ridotti a fr. 38'135.30 (cfr. supra consid. 1.5.). L’insorgente non ha mai contestato l’ammontare del danno. Pertanto, la Cassa ha debitamente documentato l’ammontare della pretesa risarcitoria conformemente alla surriferita giurisprudenza.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2.6.  Va rilevato che la ricorrente, accettando il mandato di gerente di una Sagl, ha assunto tutti gli oneri che da tale funzione derivano. Conformemente alla giurisprudenza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In casu, le asserzioni dell’insorgente stessa evidenziano un comportamento gravemente negligente. Infatti, ella ammette che “ Non sapevo assolutamente nulla dell’amministrazione e del suo funzionamento , ma avevo certamente intenzione di scoprire tutto poco a poco .” “[…] Non nego che, all’inizio, non mi sono dedicata tanto quanto avrei dovuto. Sono rimasta sbalordita da così tante novità. Il tempo è passato e ho continuato a fare compliance. La lingua mi rendeva molto difficile [presumibilmente la gestione della società, n.d.r.] e ho deciso di fare un corso d’italiano. ” “[…] Ho parlato con la contabilità e mi hanno detto di dare sempre la priorità ai pagamenti federali, statali, __________…. Non ero nemmeno sicura di cosa volessero dire. ” “[…] Non so se ho pagato correttamente, secondo la legge perché me è stato molto difficile gestirlo. Ma ho fatto del mio meglio. […] Potrei essere stata immatura, ingenua, ma non ho mai agito in malafede e con disonestà o negligenza. ” (cfr. I). A conferma dell’incompetenza dell’insorgente vi è anche l’episodio in cui ella aveva comunicato alla Cassa di non aver pagato salari soggetti all’obbligo contributivo, asserzione smentita dalla Cassa sulla base di un accertamento. L’insorgente si è poi così giustificata: “ Scusa, non parlo correntemente l’italiano e ho frainteso. Questi 3 mesi sono stati gli ultimi stipendi pagati attraverso il lavoro ridotto. Dopo questo periodo, la signora __________ [dipendente della società, n.d.r.] ha ricevuto un’assicurazione di maternità. Non ho modo di verificare nulla con la sicurezza perché non ho contabilità, non ho accesso alle E-Mail e il mio computer è in possesso della Polizia di __________. ” (cfr. formulario dichiarazione dei salari 2021 datato 25 febbraio 2022, scritto della Cassa del 21 marzo 2022 e email dell’insorgente del 14 aprile 2022 sub doc. 8). L’insorgente non ha di tutta evidenza adempiuto al proprio obbligo di versare i contributi paritetici alla Cassa per il periodo in cui è stata in carica quale socia e presidente della gerenza, rispettivamente socia gerente e liquidatrice (cfr. supra consid. 1.1. in fine). Peraltro, ella stessa ammette di dover pagare il dovuto (cfr. supra consid. 1.4. in fine). 2.7.  Costituisce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2.7.1.  In concreto, la ricorrente adduce che il mancato pagamento degli oneri sociali è da ricondurre al periodo pandemico che ha causato una mancanza di liquidità (cfr. supra consid. 1.4.). A tal proposito va ricordato che secondo costante giurisprudenza (STCA 31.2019.3 del</w:t>
      </w:r>
    </w:p>
    <w:p>
      <w:r>
        <w:rPr>
          <w:b/>
        </w:rPr>
        <w:t>E. 7</w:t>
      </w:r>
    </w:p>
    <w:p>
      <w:r>
        <w:t>febbraio 2020 consid. 2.10, 31.2018.12 e 31.2018.22 del 2 dicembre 2019 consid. 2.9., entrambe con riferimenti) la responsabilità del datore di lavoro ai sensi dell’art. 52 LAVS non è in relazione alla gestione della società per sé stessa né a eventuali cause di un fallimento. Inoltre,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Nel caso che ci occupa, si rileva innanzitutto che le difficoltà finanziarie della società erano precedenti alla crisi pandemica (cfr. supra consid. 1.2.), pur non escludendo che essa abbia esacerbato le stesse. Inoltre, la ricorrente medesima ammette di essere stata al corrente delle difficoltà finanziarie, senza però aver agito come da surriferita giurisprudenza, ossia con misure tempestive e drastiche (a tal proposito cfr. infra 2.7.2.). I problemi di liquidità della società si erano quindi cronicizzati a prescindere dalla crisi pandemica e si sono protratti per un periodo di almeno due anni. Pertanto, l’argomentazione dell’insorgente non configura un motivo di giustificazione o di discolpa ai sensi della giurisprudenza topica. 2.7.2.  L’insorgente adduce di aver venduto immobili e automobili, come pure di aver contratto prestiti per saldare i debiti della società (cfr. supra consid. 1.4.). Ora, oltre al fatto che l’insorgente non ha specificato se l’apporto di tali mezzi liquidi fosse atto a tacitare (prioritariamente) gli oneri sociali o altri debiti, qualora il suddetto agire fosse da interpretare quale misura di risanamento della società, si rileva che esso è rimasto allo stadio di puro parlato e non è stato in alcun modo sostanziato, né nell’opposizione alla decisione di risarcimento né in questa sede. Inoltre, quanto addotto dall’insorgente non costituisce un motivo di giustificazione ai sensi di quanto detto sopra, poiché in concreto la mancanza di liquidità della società non è stata passeggera, ma cronica (cfr. supra consid. 1.2.). Per tacere del fatto che la ricorrente non ha neppure sostanziato in che modo la vendita di beni personali si sarebbe oggettivamente ripercossa sulla situazione finanziaria della società, rendendo inattuabile una valutazione oggettiva dell’efficacia degli atti asseritamente compiuti. 2.8.  La ricorrente sostiene di essersi ammalata di “ sindrome di panico ” e di “ depressione ” durante il periodo pandemico, ciò che, per quel che è dato a capire, le avrebbe impedito di riaprire i negozi (cfr. supra consid. 1.4.). Secondo la giurisprudenza, in generale la malattia o l’invalidità dell’organo responsabile possono valere quale valido motivo di discolpa se a seguito di tale stato, con ogni verosimiglianza, l’organo non è più in grado né di comprendere il proprio ruolo né di determinarsi in merito alle sue dimissioni (STF 9C_394/2016 del 21 novembre 2016 che ha confermato la STCA 31.2015.14 del 27 aprile 2016 con diversi riferimenti). Questo Tribunale ha già avuto modo di precisare che un amministratore non può essere esentato dalle proprie responsabilità nel caso in cui, malgrado lo stato di salute, avrebbe potuto e dovuto provvedere a nominare un suo sostituto o, se ciò non fosse stato possibile, a rassegnare le sue dimissioni (in argomento vedi le STCA 31.2015.14 del 27 aprile 2016 consid. 2.9; 31.2012.14 del 25 aprile 2013 consid. 2.8; 31.2012.13 del 28 marzo 2013 consid. 2.9; 31.2005.18 del 18 luglio 2006; 31.2005.19 del 28 giugno 2006 e 31.1999.78-80 + 31.2000.1 del 22 febbraio 2001 consid. 2.8.1 tutte con riferimenti). La prova della presenza di motivi giustificativi incombe al datore di lavoro (STF 9C_238/2017 del 5 luglio 2017 consid. 5.3.2 che rinvia anche al consid. 4.1 della succitata STF 9C_394/2016 del 21 novembre 2016), quindi, nel presente caso, all’organo chiamato (sussidiariamente) a risarcire il danno. In concreto si rileva che anche quest’asserzione dell’insorgente risulta all’evidenza non sostanziata. Ella non ha infatti neppure prodotto nelle more del ricorso la benché minima documentazione medica atta a comprovare la sua allegazione, né tantomeno ha spiegato cosa le avrebbe impedito di farsi sostituire quale organo, rispettivamente di dimettersi. 2.9.  Visto tutto quanto precede, questo Tribunale deve concludere che l’insorgente, non avendo adempiuto agli obblighi di diligenza e vigilanza accresciuti che vanno oltre la prudenza che è d’uso osservare nei propri affari e avendo così violato le prescrizioni per negligenza grave, in assenza di motivi di giustificazione e di discolpa ai sensi della citata giurisprudenza, deve assumersi le conseguenze del mancato pagamento dei contributi paritetici della fallita FA 1 relativi agli anni 2020-2021 per complessivi fr. 38'135.80. Confermata la responsabilità ex art. 52 LAVS della ricorrente, la decisione impugnata merita pertanto conferma mentre il ricorso va integralmente respinto. 2.10.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