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31.2022.20 vom 27. Oktober 2020</w:t>
      </w:r>
    </w:p>
    <w:p>
      <w:r>
        <w:t>TI Tribunale d'appello, 2020-10-27, IT</w:t>
      </w:r>
    </w:p>
    <w:p>
      <w:r>
        <w:rPr>
          <w:b/>
        </w:rPr>
        <w:t xml:space="preserve">Quelle: </w:t>
      </w:r>
      <w:r>
        <w:t>https://mcp.opencaselaw.ch/entscheid/ti_gerichte_31.2022.20</w:t>
      </w:r>
    </w:p>
    <w:p>
      <w:r>
        <w:t>FR: TI_GERICHTE 31.2022.20 du 27 octobre 2020</w:t>
      </w:r>
    </w:p>
    <w:p>
      <w:r>
        <w:t>IT: TI_GERICHTE 31.2022.20 del 27 ottobre 2020</w:t>
      </w:r>
    </w:p>
    <w:p>
      <w:pPr>
        <w:pStyle w:val="Heading2"/>
      </w:pPr>
      <w:r>
        <w:t>Erwägungen</w:t>
      </w:r>
    </w:p>
    <w:p>
      <w:r>
        <w:rPr>
          <w:b/>
        </w:rPr>
        <w:t>E. 1</w:t>
      </w:r>
    </w:p>
    <w:p>
      <w:r>
        <w:t>il 23 settembre 2020 – ossia a meno di un mese dal fallimento della società – con la quale “ si diffida il sig. TERZ 1 ad effettuare prelevamenti a contanti dal conto aziendale o ad eseguire pagamenti senza la relativa fattura ” (scritto del 23 settembre 2020 inviato da RI 1 alla FA 1, sub doc. 2.), non fa altro che confermare la grave negligenza dell’insorgente nell’esecuzione dei suoi doveri quale amministratore unico, essendo documentata la conoscenza della situazione caotica in cui versava la società. E anche la mail di medesima data inviata da RI 1 a TERZ 1 per avere chiarimenti sul perché quest’ultimo avesse annullato l’ordine di pagamento dei contributi paritetici non lo soccorre, evidenziando ancora una volta una situazione surreale nella quale RI 1, quale uomo di paglia a tutti gli effetti, era sottomesso alla volontà dell’organo di fatto. Del resto, anche __________ – succeduto a RI 1 quale amministratore unico il 14 ottobre 2020, ossia a pochi giorni dal fallimento della società – ha dichiarato che la causa del fallimento materiale fosse da ricondurre, tra l’altro, alla “ Difficoltà d’incasso per poca organizzazione da parte dell’amministrazione […]” (verbale interrogatorio UF del 30 ottobre 2020, pag. 2, sub doc. 8). Pertanto, anche per questo motivo al ricorrente va imputata una negligenza grave. Infine, l’insorgente si duole del fatto che la Cassa non si sia espressa sugli acconti versati alla __________ per l’acquisto di un appartamento, acconti che, a mente sua, “ costituivano un attivo della società che poteva essere considerato un valore a garanzia degli oneri sociali .” (cfr. supra consid. 1.4. e doc. I, p.to 18.). A torto. In primo luogo mal si comprende come il trasferimento di liquidità dalla FA 1 ad una società terza possa essere considerata una garanzia a favore della Cassa, a prescindere da come tali acconti venivano contabilizzati internamente. Tale agire non fa altro che trasferire il rischio imprenditoriale dalla datrice di lavoro alle assicurazioni sociali, ciò che la giurisprudenza identifica come comportamento gravemente negligente (cfr. STF 9C_701/2018 del 27 novembre 2018 consid. 6.2.). Inoltre, la procedura fallimentare è stata chiusa per mancanza di attivi, ragione per cui non è possibile attingere a tali asserite “ garanzie ”. Oltre a ciò, la Cassa non può certo sostituirsi all’UF nella determinazione della massa fallimentare. Anche in questo caso, è importante rilevare che il fatto che il ricorrente non sappia dove siano finite le asserite “ garanzie ” è, in ultima analisi, da ricondurre alle sue molteplici mancanze quale amministratore unico. Infatti, anche se – per ipotesi di lavoro ed in attesa delle risultanze dell’inchiesta penale – si volesse ammettere che TERZ 1 abbia sottratto, con un atto punibile, tali attivi alla società, ciò sarebbe stato possibile anche a motivo della passività del ricorrente, venuto meno ai suoi doveri legali. Detto altrimenti, l’asserzione del ricorrente secondo cui al momento delle sue dimissioni vi era la liquidità necessaria per pagare i contributi paritetici e che essa è stata impiegata da TERZ 1 per altri scopi, pregiudica ulteriormente la sua posizione, giacché spettava a lui provvedere affinché ciò non avvenisse, ad esempio estromettendo TERZ 1 dall’accesso ai conti. Tale conclusione rende peraltro superfluo il richiamo dell’incarto penale. RI 1 non poteva, nella sua veste di amministratore unico, prescindere da uno studio approfondito della situazione contabile della FA 1, in particolare della situazione relativa ai contributi paritetici prima di accettare la sua elezione. Egli non avrebbe neppure dovuto tollerare lo stato di ingerenza, riscontrato fin dalla sua elezione, da parte di TERZ 1 nella gestione della società, situazione protrattasi fino ad un mese dal fallimento e che lo ha reso un uomo di paglia a tutti gli effetti. Per l’insorgente era ragionevolmente esigibile estromettere immediatamente TERZ 1 dalla gestione della società, alternativamente dimissionare immediatamente. Egli non ha mai ossequiato al suo dovere di alta vigilanza nei confronti delle persone che si occupavano della gestione. Per tutte queste gravi omissioni, causali (cfr. supra consid. 2.1.) per il credito di cui la Cassa chiede il risarcimento, all’insorgente non può che essere imputata (almeno) una negligenza grave. 2.10.  Il ricorrente stigmatizza come la Cassa non abbia avviato una procedura di risarcimento nei confronti di TERZ 1 e di __________ quali organi di fatto della FA 1. Si osserva che, contrariamente a quanto sostenuto dal ricorrente, la Cassa ha già emanato una decisione di risarcimento nei confronti di TERZ 1 (cfr. supra consid.1.5.). Per quanto concerne __________, questa Corte può far proprio quanto osservato dalla Cassa nella risposta di causa, ossia che “ La Cassa non dispone di elementi e neppure il ricorrente ha apportato prove in tal senso, atti a stabilire che egli agiva come organo di fatto rispettivamente che decideva in merito al versamento o meno degli oneri sociali. Circostanza quest’ultima che sarebbe comunque in contrasto con l’asserzione del ricorrente secondo la quale solo il signor TERZ 1 […] avrebbe determinato i pagamenti da parte della società ” (doc. III, pag. 3 e seg.). A tal proposito si rammenta che la responsabilità degli organi di una persona giuridica per i contributi insoluti è di carattere solidale (art. 52 cpv. 2 seconda frase LAVS; cfr. supra consid. 2.1.), ragione per cui la Cassa ha la facoltà di scegliere contro quale dei debitori solidali procedere e, qualora ometta di procedere contro uno di loro, nessun’altra autorità può sostituirsi ad essa ed agire al suo posto (DTF 108 V 195 consid. 3. e 119 V 86 consid. 5.). 2.11.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2.2.-2.5. e 2.9.), non si rileva alcun motivo di giustificazione o di discolpa ai sensi della surriferita giurisprudenza, né il ricorrente se ne prevale. 2.12.  Il ricorrente ha richiesto l’assunzione di molteplici mezzi di prova (cfr. supra consid. 1.4. in fine).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fra le tante cfr. DTF 130 Il 425 consid. 2.1 con rinvii). Un tale modo di procedere non lede il diritto di essere sentito conformemente all'art. 29 cpv. 2 Cost. (SVR 2001 IV no. 10 pag. 28 consid. 4b; riguardo al previgente art. 4 cpv. 1 v Cost., cfr. DTF 124 V 94 consid. 4b). Nel caso in esame la documentazione agli atti è sufficiente per un giudizio e quindi non è necessario dare seguito alla succitata richiesta di assunzione prove. Infatti, i motivi addotti per il richiamo dell’incarto penale e fallimentare, come pure per le audizioni, non sono suscettibili di modificare le conclusioni a cui il TCA è addivenuto. A tal proposito si rammenta che l’audizione personale del ricorrente può essere rifiutata senza per questo ledere il diritto di essere sentito sancito dall’art. 29 cpv. 2 Cost. fed. e dall’art. 6 n. 1 CEDU. Infatti, secondo la giurisprudenza federale, l’obbligo di organizzare un dibattimento pubblico ai sensi dell’art. 6 n. 1 CEDU presuppone una richiesta chiara e inequivocabile; semplici domande di assunzioni di prove, come ad esempio istanze di audizione personale o di interrogatorio di parti o di testimoni, oppure richieste di sopralluogo, non bastano per creare un simile obbligo (STF 9C_660/2015 del 24 marzo 2016; STF I 472/06 del 21 agosto 2007 consid. 2 che ha confermato questo principio; DTF 122 V 47; cfr. anche DTF 124 V 90 consid. 6). 2.13.  Visto tutto quanto precede, questo Tribunale deve concludere che l’insorgente, non avendo adempiuto agli obblighi di diligenza e vigilanza accresciuti che vanno oltre la prudenza che è d’uso osservare nei propri affari e avendo così violato le prescrizioni per negligenza grave, in assenza di motivi di giustificazione e di discolpa ai sensi della citata giurisprudenza, deve assumersi le conseguenze del mancato pagamento dei contributi paritetici della fallita FA 1 relativi agli anni 2019-2020 per complessivi fr. 77'470.30. Confermata la responsabilità ex art. 52 LAVS del ricorrente, la decisione impugnata merita pertanto conferma mentre il ricorso va integralmente respinto. 2.14.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2.15.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