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31.2022.2 vom 28. April 2022</w:t>
      </w:r>
    </w:p>
    <w:p>
      <w:r>
        <w:t>TI Tribunale d'appello, 2022-04-28, IT</w:t>
      </w:r>
    </w:p>
    <w:p>
      <w:r>
        <w:rPr>
          <w:b/>
        </w:rPr>
        <w:t xml:space="preserve">Quelle: </w:t>
      </w:r>
      <w:r>
        <w:t>https://mcp.opencaselaw.ch/entscheid/ti_gerichte_31.2022.2</w:t>
      </w:r>
    </w:p>
    <w:p>
      <w:r>
        <w:t>FR: TI_GERICHTE 31.2022.2 du 28 avril 2022</w:t>
      </w:r>
    </w:p>
    <w:p>
      <w:r>
        <w:t>IT: TI_GERICHTE 31.2022.2 del 28 aprile 2022</w:t>
      </w:r>
    </w:p>
    <w:p>
      <w:pPr>
        <w:pStyle w:val="Heading2"/>
      </w:pPr>
      <w:r>
        <w:t>Regeste</w:t>
      </w:r>
    </w:p>
    <w:p>
      <w:r>
        <w:t>Responsabilità del datore di lavoro ex art. 52 LAVS di due ex amministratori. Conferma della tardività dell'opposizione di un ex amministratore. Conferma della responsabilità dell'altro ex amministratore non avendo riscontrando alcun valido motivo di discolpa rispettivamente di giustificazione</w:t>
      </w:r>
    </w:p>
    <w:p>
      <w:pPr>
        <w:pStyle w:val="Heading2"/>
      </w:pPr>
      <w:r>
        <w:t>Erwägungen</w:t>
      </w:r>
    </w:p>
    <w:p>
      <w:r>
        <w:rPr>
          <w:b/>
        </w:rPr>
        <w:t>E. 2</w:t>
      </w:r>
    </w:p>
    <w:p>
      <w:r>
        <w:t>gennaio 2022 di RI 1 (inc. 31.2022.2) 2.4.   Occorre stabilire se RI 1 si è tempestivamente opposto, mediante scritto del 15 novembre 2021, alla decisione di risarcimento del 15 settembre 2021. Ai sensi dell'art. 52 cpv. 1 LPGA, le decisioni emesse in virtù dell'art. 49 LPGA possono essere impugnate entro trenta giorni mediante opposizione all'istanza che le ha notificate. Per l'art. 40 cpv. 1 LPGA, il termine legale non può essere prorogato. L'art. 39 cpv. 1 LPGA, prevede poi che le richieste scritte devono essere consegnate all'assicuratore oppure, a lui indirizzate, a un ufficio postale svizzero o a una rappresentanza diplomatica o consolare svizzera al più tardi l'ultimo giorno del termine. L'art. 38 cpv. 1 LPGA prescrive che se il termine è computato in giorni o in mesi e deve essere notificato alle parti, inizia a decorrere il giorno dopo la notificazione. Il cpv. 3 prevede che se l'ultimo giorno del termine è un sabato, una domenica o un giorno festivo riconosciuto dal diritto federale o cantonale, il termine scade il primo giorno feriale seguente. Giusta il cpv. 4, infine, i termini stabiliti dalla legge o dall'autorità in giorni o in mesi non decorrono dal settimo giorno precedente la Pasqua al settimo giorno successivo alla Pasqua incluso, dal 15 luglio al 15 agosto incluso, dal 18 dicembre al 2 gennaio incluso. Quando il tentativo di intimazione di un invio raccomandato si rivela infruttuoso e, di conseguenza, viene emesso un avviso di ritiro nella bucalettere o nella casella postale del destinatario, l'invio è validamente notificato quando viene ritirato alla Posta. Se ciò non avviene entro il termine di ritiro, corrispondente a 7 giorni, l'invio viene ritenuto notificato l'ultimo giorno di questo termine (art. 38 cpv. 2bis LPGA), nella misura in cui il destinatario doveva attendersi, secondo il principio della buona fede, un'intimazione (cosiddetta "Zustellungsfiktion"; STF 2C_795/2017+ 2C_796/2017 del 3 ottobre 2017 consid. 3.1; DTF 134 V 49, DTF 127 I 34 consid. 2a/aa, DTF 119 V 94 consid. 4b/aa). Ritornando al caso in esame, dagli atti risulta che nei confronti del ricorrente il 15 settembre 2021 la Cassa ha emesso ed inviato per raccomandata la decisione di risarcimento (doc. A1). Il 17 settembre 2021 l’invio è stato recapitato e notificato (doc. A2). Di conseguenza il termine di 30 giorni è iniziato il giorno successivo della notifica ed è scaduto lunedì 18 ottobre 2021 . In queste circostanze, l’opposizione del 15 novembre 2021, pervenuta il giorno seguente alla Cassa (doc. 2 inc. 31.2022.2) risulta essere manifestamente tardiva. 2.5.   Nell’opposizione il ricorrente ha tuttavia sostenuto che “… lo scrivente RI 1 non ha provveduto a rispondere alla Vs. comunicazione del 15 settembre 2021 nei termini perché era ricoverato in ospedale a seguito interventi chirurgici post-Covid, è stato dimesso recentemente e attualmente è in convalescenza” (doc. 2 inc. 31.2022.2). Occorre quindi esaminare se vi sono i presupposti per una restituzione del termine per inoltrare opposizione. A tal proposito va ricordato che secondo l’art. 41 LPGA se il richiedente o il suo rappresentante è stato impedito, senza sua colpa, di agire entro il termine stabilito, lo stesso è restituito, sempre che l'interessato lo domandi adducendone i motivi entro 30 giorni dalla cessazione dell'impedimento e compia l'atto omesso (cfr. pure art. 14 Lptca). Nell’evenienza concreta, visto quanto scritto da RI 1 nell’opposizione, con lettera 17 novembre 2021 la Cassa gli ha chiesto alcune precisazioni in merito alla notifica della decisione di risarcimento ed al suo stato di salute (doc. 4 inc. 31.2022.2). In risposta, con scritto datato 22 novembre 2021 il ricorrente ha comunicato di essere stato degente in ospedale dal 7 settembre 2021 al 7 novembre 2021 per un intervento di protesi totale all’anca destra e susseguente riabilitazione. Rileva inoltre che nel dicembre 2020 è stato ricoverato per Covid in unità intensiva con successive sindromi post-Covid, quali affaticamento psico-fisico e seri problemi di deambulazione, precisando poi di essere tutt’ora in cura fisioterapica. Il ricorrente ha inoltre informato di aver incaricato suo figlio di ritirare durante la sua degenza ospedaliera del 2021 la corrispondenza, tra cui la lettera raccomandata contenente la decisione di risarcimento che, per via delle restrizioni anti-Covid, gli è stata consegnata a mano solamente dopo le dimissioni, ai primi di novembre 2021 (doc. 5 inc. 31.2022.2). Va qui ricordato che la giurisprudenza sviluppata in relazione alla restituzione di termini, prevede che per impedimento senza colpa bisogna intendere non solo l'impossibilità di agire oggettiva nel senso della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STCA 38.2016.33 del 30 giugno 2016, consid. 2.4; cfr. anche STF 9C_54/2017 del 2 giugno 2017. Nel caso concreto è risultato che in previsione dell’intervento all’anca destra del settembre 2021 il ricorrente aveva incaricato suo figlio di ritirare la corrispondenza, incluso l’invio raccomandato del 15 settembre 2021 contenente la decisione di risarcimento. Certo, in periodo di pandemia il ricorrente, come tutte le persone degenti, non poteva ricevere visite e solo dopo le sue dimissioni suo figlio ha potuto recapitargli la raccomandata. Tuttavia, nella decisione contestata la Cassa ha pertinentemente rilevato che “… il motivo del ricovero, di natura prettamente fisica, non gli impediva certo di tenere i contatti con i sui familiari – benché non di persona – e ricevere informazioni già solo telefonicamente e impartire ulteriori istruzioni al riguardo, rispettivamente non comportava una duratura e integrale incapacità di discernimento” . Questo Tribunale è consapevole che quando la decisione di risarcimento è stata ritirata dal figlio del ricorrente (17 settembre 2021) erano trascorsi solo una decina di giorni dall’intervento all’anca destra (7 settembre 2021) per cui a quel momento l’insorgente non era nel pieno delle sue forze per dare delle istruzioni. Non si misconosce nemmeno lo stato psico-fisico somatico descritto nel ricorso, come le difficoltà di concentrazione in merito ad eventi esterni. Tuttavia, secondo questa Corte – ricordato che l'istituto della restituzione in intero costituisce un rimedio di carattere straordinario che incide profondamente nella sicurezza del diritto, per cui occorre valutare l'adempimento dei requisiti con rigore e seguire criteri restrittivi – ritiene che la situazione del ricorrente non era talmente grave da impedirgli, entro il 30 giorni dal ritiro della raccomandata, di dare disposizioni se non in presenza, ma almeno tramite telefono o altri mezzi di comunicazione, a suo figlio o a terze persone ai fini di una stesura di un’opposizione alla decisione di risarcimento. D’altronde l’insorgente non ha prodotto documentazione medica attestante un suo grave stato di salute tale da compromettere la sua capacità d’intendere e di volere. Egli ha infatti unicamente prodotto, in sede amministrativa, la convocazione all’intervento del</w:t>
      </w:r>
    </w:p>
    <w:p>
      <w:r>
        <w:rPr>
          <w:b/>
        </w:rPr>
        <w:t>E. 7</w:t>
      </w:r>
    </w:p>
    <w:p>
      <w:r>
        <w:t>settembre 2021 ed il progetto ribilitativo (doc. 5 inc. 31.2022.2). Visto quanto sopra, non sussistendo un motivo di restituzione dei termini, l’opposizione alla decisione di risarcimento 15 settembre 2021 è da ritenere tardiva e quindi irricevibile. Pertanto, la decisione impugnata merita conferma, mentre il ricorso va respinto. Ricorso 31 gennaio 2022 di RI 2 (inc. 31.2022.7). 2.6   Con la decisione contestata, la Cassa ha fatto valere nei confronti del ricorrente – gerente (dal 1.12.2017 al 8.06.2018) e poi presidente della gerenza (dal 8.06.2018) sino alle dimissioni (18.07.2019) – il risarcimento ex art. 52 LAVS di fr. 65'957,55 per contributi paritetici AVS/AI/AD/IPG e AF non soluti dalla società per gli anni 2018 e (giugno) 2019, in via solidale con RI 1. Al riguardo, va ricordato che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Ritornando al caso in esame, la Cassa ha debitamente comprovato il danno da lei subito, allegando dapprima alla decisione contestata i conteggi dei saldi contributivi relativi agli anni 2018 e 2019. Essa ha anche allestito uno specchietto relativo all’evoluzione del debito contributi degli anni 2018 – 2019 (doc. 8 e 9). Del resto, il ricorrente non ha sollevato alcuna contestazione al riguardo. 2.7.   L’insorgente ribadisce come RI 1 con scritto 15 novembre 2021 alla Cassa (doc. A5 = doc. 2 inc. 31.2022.2) si sia assunto tutte le responsabilità economiche e giuridiche relative al mancato pagamento degli oneri sociali da parte della società. Questa assunzione di responsabilità non libera il ricorrente dai sui obblighi e doveri quale gerente (cfr. al riguardo consid. 2.9), tantomeno costituisce un motivo liberatorio. Va qui infatti ricordato che secondo giurisprudenza, accordi tra ex amministratori in merito all’assunzione di responsabilità per il mancato pagamento dei contributi sono, secondo giurisprudenza federale, ininfluenti nel rapporto esterno con la Cassa, trattandosi di mera questione interna , eventualmente di regresso, tra i singoli responsabili e non assurgono a motivo di discolpa (STF 9C_195/2009 del 2 febbraio 2010 consid. 4.2, 9C_788/2007 del 29 ottobre 2008 consid. 3.3. con riferimenti; STF H 208/00 e STF H 209/00 del 28 aprile 2003). 2.8.   Occorre pertanto esaminare la responsabilità dell’insorgente. Va anzitutto ricordato che egli, accettando il mandato di gerente rispettivamente presidente della gerenza di una Sagl, ha assunto tutti gli oneri che da tale funzione derivano.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Pertanto, nella fattispecie concreta, anche volendo ipotizzare che la società fosse di fatto gestita da RI 1, il ricorrente, quale gerente rispettivamente presidente della gerenza, aveva comunque gli obblighi di diligenza e di vigilanza di cui sopra. Non poteva accontentarsi di svolgere un ruolo passivo. Al riguardo, è bene ricordare che la passività a dispetto della conoscenza (eventuale) di mancati pagamenti di contributi deve essere considerata un’inosservanza per negligenza grave delle prescrizioni (RCC 1989 pag. 115). Inoltre, in relazione alla gestione della società da parte di terze persone, va ricordato che secondo la giurisprudenza federale, l'art. 759 cpv. 1 CO non è applicabile nel presente ambito per giustificare una riduzione del risarcimento in relazione alla gravità dell'errore commesso dai presunti responsabili ( STFA H 72/06 del 16 ottobre 2006 consid. 2.2, H 238/98 13 novembre 2000 consid. 4b; Pratique VSI 1996 pag. 306). Determinante è che valutare se le circostanze addotte dall’insorgente costituiscono motivi sufficienti per esonerarlo dalla sua responsabilità e per escludere quindi l’esistenza di una negligenza grave. 2.9.   Nel provvedimento impugnato la Cassa ha rettamente spiegato che, con riferimento all’opposizione 15 novembre 2021 del ricorrente, il mancato versamento degli oneri sociali per motivi di grave illiquidità dovuta ai mancati pagamenti di fatture da parte di debitori della società non permette di liberalo da una sua responsabilità (cfr. consid. 7). In primo luogo la convenuta ha giustamente ricordato che p er costante giurisprudenza (STCA 31.2018.12 e 31.2018.22 del 2 dicembre 2019, consid. 2.9. con riferimenti) la responsabilità del datore di lavoro ai sensi dell’art. 52 LAVS non è in relazione alla gestione della società per sé stessa, né a eventuali cause di un fallimento. Inoltre, nel caso in cui una società sia confrontata con una fase difficile e fondi la sua esistenza su equilibri delicati, l'amministratore deve prestare un'attenzione particolare, tanto più se la situazione gli è nota (STF H 446/00 del 31 agosto 2001) con l'adozione se necessario di misure drastiche e immediate (STF H 171/02 del 23 giugno 2002). Infine, non è rilevante, ad esempio, che i problemi di liquidità fossero dovuti al peggioramento delle condizioni del mercato o che il datore di lavoro soggettivamente sperasse in un salvataggio aziendale e di conseguenza confidasse nel pagamento dei contributi scaduti, e ciò nemmeno se questo ha portato ad immettere capitali privati nella società (Reichmuth, op. cit., n. 677 e 679 pag. 160 con riferimenti). Nel caso concreto, come visto, di per sé l’illiquidità dovuta alla mancata riscossione delle fatture dei debitori societari non permette al datore di lavoro, rispettivamente al suo organo formale, di liberarsi da una responsabilità ex art. 52 LAVS. Del resto, il ricorrente non ha nemmeno specificato quali iniziative egli abbia intrapreso per assicurare che i contributi fossero interamente liquidati. Va poi evidenziato che in sede di ricorso l’insorgente non ha fatto valere né tanto meno reso verosimile l’esistenza di ulteriori speciali circostanze – che d’altronde neppure emergono dalle tavole processuali – che avrebbero potuto legittimare il datore di lavoro a non versare i contributi o avrebbero potuto scusarlo dal provvedervi (DTF 121 V 244 consid. 4b, 108 V consid. 1b e 193 consid. 2b). Secondo giurisprudenza,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pagg. 156ss; vedi anche Meyer, Die Rechtsprechung des Eidgenössischen Versicherungsgerichts zur Arbeitgeberhaftung; in: Temi scelti di diritto delle assicurazioni sociali, 2006, pagg.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Ritornando al caso in esame, come detto, non sono stati invocati motivi di giustificazione, rispettivamente di discolpa, nel senso della succitata giurisprudenza. In particolare, nemmeno è stato addotto, né quindi comprovato, che la società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 Non va in effetti dimenticato che la società, per quanto concerne il periodo in esame, dopo diffide dal mese di maggio 2018 e l’avvio di procedure esecutive dal mese di novembre 2018, ha unicamente liquidato gli acconti trimestrali del 2018. Per il 2019 è stato versato solo l’acconto di gennaio (doc. 9). In queste condizioni si può affermare che i problemi di liquidità della società erano cronici, rimanendo scoperti contributi dovuti sull’arco di un lungo periodo. Trattandosi di un lungo lasso di tempo, la negligenza grave deve essere riconosciuta. 2.10.   Va poi rilevato che la Cassa ha potuto constatare anche una violazione grave dell'obbligo di comunicare l’adeguamento degli acconti previsto dall'art. 35 cpv. 2 OAVS.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liquidi siano presenti per tacitare in tempi utili il rispettivo conteggio finale. È ritenuto mutamento importante una differenza della somma dei salari annua di almeno il 10% rispetto all'originaria somma dei salari presumibile (STF 9C_247/2016 del 10 agosto 2016; STCA 31.2016.6 del 5 ottobre 2016). Secondo la giurisprudenza federale, è data una violazione dell'obbligo di informare la Cassa anche qualora la società abbia sì comunicato un aumento della massa salariale, ma ciò non ha comunque evitato un conguaglio con una variazione superiore al 10% (STF 9C_355/2010 del 17 agosto 2010). In merito, nella pronunzia contestata (consid. 7) è stato evidenziato: " .. la Cassa ha fatturato gli acconti per il 2018 sulla base di una somma trimestrale dei salari di CHF 1'855.50, rispettivamente CHF 7'422.00 annui. Per contro l’ammontare effettivo dei salari per l’anno 2018 è risultato essere di CHF 284'508. Ciò significa che l’ammontare dei salari effettivi per il 2018 è risultato essere del 3'733,31% più lato rispetto alla somma utilizzata per il calcolo degli acconti. Per il 2019 è stato emesso un primo acconto trimestrale sulla base di CHF 1'855.50 e successivamente acconti mensili in considerazione di una somma salariale di CHF 23'709.00. Per tale anno lo scarto tra la base di calcolo degli acconti fatturati (su complessivi CHF 215'236.50) e la somma dei salari effettivi (CHF 293'906.10) è risultato essere del 36.55%.” La Cassa ha quindi rilevato che “ … il fatto di aver continuato a gestire una società sulla base di equilibri delicati, in particolare giovando di un finanziamento indiretto, dovuto a: mancato pagamento di congrui acconti; differimento cronico dei pagamenti; mancato pagamento di diversi acconti e conguaglio ha fatto sì che l'opponente trasferisse il rischio imprenditoriale sulle assicurazioni sociali, ciò che la giurisprudenza federale identifica come comportamento gravemente negligente (STF 9C_701/2018 del 27 novembre 2018).” A queste argomentazioni e conclusioni questa Corte non può che aderire. Infine, oltre alla succitata violazione, sempre nella decisione impugnata la Cassa ha pertinentemente rilevato che, “… come risulta dai conteggi allegati alla decisione risarcitoria, per gli anni 2018 e 2019 la società ha riversato alla Cassa solo parzialmente la quota trattenuta mensilmente ai propri dipendenti. Infatti l’ammontare dei pagamenti effettuati non raggiunge almeno la metà dei contributi dovuti ai fini AVS/AI/IPG/AD. Ciò che prefigura una violazione delle prescrizioni ex artt. 14 cpv. 1 e 87 cpv. 4 LAVS”. Violazione di pertinenza penale che la Cassa avrà senz’altro segnalato alla competente autorità inquirente. 2.11.   In conclusione, visto quanto sopra, essendo venuto meno agli obblighi di gerente e non sussistendo validi motivi di discolpa e/o di giustificazione per il mancato versamento degli oneri sociali, l’insorgente va ritenuto responsabile ex art. 52 LAVS del danno derivante dal mancato pagamento di fr. 65'957,55 per i contributi paritetici dal 2018 al 2019 (quest’ultimo sino al mese di giugno), in via solidale con RI 1. Ne consegue che, confermata la decisione contestata, il ricorso va respinto.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in esame dunque, in assenza di una base legale necessaria (federale o cantonale) che obblighi in modo perentorio al pagamento di spese di procedura, considerato come né la LPGA né la LAVS né altre leggi del diritto cantonale prevedano imperativamente l'applicazione di spese, malgrado i ricorsi siano stati presentati dopo l’entrata in vigore delle citate modifiche legislative, e malgrado la vertenza non abbia come oggetto prestazioni assicurative, non sono prelevate spese di procedura (cfr. pure STF 9C_394/2021 del 3 gennaio 2022). 2.13.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