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31.2022.15 vom 17. Oktober 2022</w:t>
      </w:r>
    </w:p>
    <w:p>
      <w:r>
        <w:t>TI Tribunale d'appello, 2022-10-17, IT</w:t>
      </w:r>
    </w:p>
    <w:p>
      <w:r>
        <w:rPr>
          <w:b/>
        </w:rPr>
        <w:t xml:space="preserve">Quelle: </w:t>
      </w:r>
      <w:r>
        <w:t>https://mcp.opencaselaw.ch/entscheid/ti_gerichte_31.2022.15</w:t>
      </w:r>
    </w:p>
    <w:p>
      <w:r>
        <w:t>FR: TI_GERICHTE 31.2022.15 du 17 octobre 2022</w:t>
      </w:r>
    </w:p>
    <w:p>
      <w:r>
        <w:t>IT: TI_GERICHTE 31.2022.15 del 17 ottobre 2022</w:t>
      </w:r>
    </w:p>
    <w:p>
      <w:pPr>
        <w:pStyle w:val="Heading2"/>
      </w:pPr>
      <w:r>
        <w:t>Regeste</w:t>
      </w:r>
    </w:p>
    <w:p>
      <w:r>
        <w:t>Responsabilità del socio gerente di una Sagl per il mancato pagamento dei contributi. Ricorso respinto in quanto non sono stati sollevati validi motivi di discolpa</w:t>
      </w:r>
    </w:p>
    <w:p>
      <w:pPr>
        <w:pStyle w:val="Heading2"/>
      </w:pPr>
      <w:r>
        <w:t>Erwägungen</w:t>
      </w:r>
    </w:p>
    <w:p>
      <w:r>
        <w:rPr>
          <w:b/>
        </w:rPr>
        <w:t>E. 29</w:t>
      </w:r>
    </w:p>
    <w:p>
      <w:r>
        <w:t>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(STF 9C_394/2021 del 3 gennaio 2022). 2.14.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