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31.2022.11 vom 13. Juni 2022</w:t>
      </w:r>
    </w:p>
    <w:p>
      <w:r>
        <w:t>TI Tribunale d'appello, 2022-06-13, IT</w:t>
      </w:r>
    </w:p>
    <w:p>
      <w:r>
        <w:rPr>
          <w:b/>
        </w:rPr>
        <w:t xml:space="preserve">Quelle: </w:t>
      </w:r>
      <w:r>
        <w:t>https://mcp.opencaselaw.ch/entscheid/ti_gerichte_31.2022.11</w:t>
      </w:r>
    </w:p>
    <w:p>
      <w:r>
        <w:t>FR: TI_GERICHTE 31.2022.11 du 13 juin 2022</w:t>
      </w:r>
    </w:p>
    <w:p>
      <w:r>
        <w:t>IT: TI_GERICHTE 31.2022.11 del 13 giugno 2022</w:t>
      </w:r>
    </w:p>
    <w:p>
      <w:pPr>
        <w:pStyle w:val="Heading2"/>
      </w:pPr>
      <w:r>
        <w:t>Regeste</w:t>
      </w:r>
    </w:p>
    <w:p>
      <w:r>
        <w:t>Responsabilità ex art. 52 LAVS di un socio gerente confermata. Conferma dell'ammontare dei salari versati non potendo essere equiparati a semplici aspettative. Negata la presenza di validi motivi di giustificazione per l'omesso pagamento dei contributi</w:t>
      </w:r>
    </w:p>
    <w:p>
      <w:pPr>
        <w:pStyle w:val="Heading2"/>
      </w:pPr>
      <w:r>
        <w:t>Erwägungen</w:t>
      </w:r>
    </w:p>
    <w:p>
      <w:r>
        <w:rPr>
          <w:b/>
        </w:rPr>
        <w:t>E. 21</w:t>
      </w:r>
    </w:p>
    <w:p>
      <w:r>
        <w:t>novembre 2016 consid. 5). 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nuovo capoverso 2 dell’art. 52 LAVS, entrato in vigore il 1° gennaio 2012, prevede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 La Corte federale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ss.). Nella fattispecie concreta, a seguito dell’apertura del fallimento della FA 1 la Cassa ha chiesto in via sussidiaria al ricorrente, socio gerente, il risarcimento ex art. 52 LAVS per i contributi paritetici non versati dalla società nel 2019 e 2020, quest’ultimo sino a marzo. 2.3. C ostituiscono elementi del danno risarcibile, tra l’altro, i contributi AVS/AI/IPG, sia per la parte del salariato che quella del datore di lavoro (STF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 OAVS); le spese esecutive (cfr. la giurisprudenza citata in RDAT II 1995 pagg. 369-370 confermata in RDAT II 2002 pag. 533; STFA H 113/00 del 24 ottobre 2000 consid. 6 e RtiD II 2006 pagg. 368-370). Non sono invece computabili le multe inflitte dalla Cassa (STF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Nel caso in esame, il danno di complessivi fr. 5'502,85 fatto valere nei confronti del ricorrente è costituito dal mancato versamento dei contributi AVS/AI/IPG/AD e AF per gli anni 2019 e 2020 (fino a marzo), così come risulta dai conteggi allegati alla decisione di risarcimento, nonché dagli specchietti relativi all’evoluzione del pagamento dei contributi (doc. 4 e 5). I contributi 2019 sono stati determinati sulla base della relativa distinta salari dove quale unico dipendente figura __________ con una retribuzione annua di fr. 45'000 (doc. 1/F). Il suo salario del 2020 (gennaio – marzo) di fr. 11'500 è stato accertato dall’Ispettore AVS il 9 febbraio 2021 (doc. 1/G). Con il presente ricorso l’ex gerente sostiene che, a causa delle difficoltà finanziarie riscontrate dalla società, le retribuzioni arretrate spettanti ai dipendenti __________ per gli anni 2014 e 2015 e __________ per il 2019 e 2020 costituiscono delle mere aspettative salariali, le stesse non essendo state versate. Rileva inoltre che il 23 ottobre 2020 i due citati dipendenti hanno rinunciato ai loro stipendi maturati (sub doc. 6). Per questi motivi il ricorrente sostiene che i contributi non sono dovuti e quindi non è tenuto a risarcire alcunché. Preliminarmente si osserva che i contributi sono di principio determinati sulla base delle distinte salariali. Secondo l’art. 14 cpv. 1 LAVS, i contributi del reddito proveniente da un'attività lucrativa dipendente sono dedotti da ogni paga e devono essere versati periodicamente dal datore di lavoro insieme al suo contributo. Decisivo per l'insorgenza del debito contributivo – e quindi per la questione a sapere quando i contributi devono essere prelevati dal salario determinante – è il momento in cui il reddito da attività lavorativa si è realizzato (DTF 111 V 166 consid. 4a; 110 V 227 consid. 3a; STFA 1966 pag. 205; RCC 1989 pag.317 consid. 3c, 1976 pag. 88 consid. 2). l contributi paritetici devono essere riscossi, indipendentemente dal momento in cui il salario è pagato, su tutte le retribuzioni dovute per il periodo di attività lucrativa durante il quale il salariato era soggetto all'obbligo di contribuzione (DTF 110 V 225). Pertanto, secondo la giurisprudenza, i contributi sociali sono dovuti dal momento in cui il lavoratore dipendente realizza il suo diritto al salario (RCC 1976, pag. 87). Quindi, ai fini dell'art. 52 LAVS, non è importante che il salario sia stato o potesse effettivamente essere versato, bensì il fatto che il diritto a tale prestazione si sia, come nel caso concreto, realizzato (fra le tante: DTF 111 V 166 consid. 4a, 110 V 227 consid. 3a), ritenuto che i contributi sono dovuti anche se il lavoratore rinuncia a chiedere l'effettivo versamento del salario (STF H 71/02 del 5 marzo 2003 consid. 3.4). Diverso è il caso in cui si tratta di una mera aspettativa salariale (STCA 30.2007.50 del 17 aprile 2008, inc., consid. 2.2). In p articolare se le condizioni finanziarie del datore di lavoro al momento dell’accredito salariale sono molto gravi e per questo il futuro versamento del salario dipendeva dal punto di vista temporale e dell’ammontare da un miglioramento dei risultati aziendali oppure, in caso di attività iniziali di una società, allorquando le perdite nette non permettono di versare i salari rivendicati. Va tuttavia precisato che tali circostanze devono essere ammesse con molta prudenza (Reichmuth, Die Haftung des Arbeitgebers und seiner Organe nach Art. 52 AHVG, 2008, n. 403 pag. 103). A tale riguardo, con sentenza H 78/03 del 13 settembre 2004, il TFA aveva precisato che il diritto alla prestazione è realizzato se il salario viene versato in contanti, se viene allibrato oppure risulta disponibile dal profilo civilistico sotto forma di un credito esigibile. Se, eccezionalmente, la retribuzione non viene versata bensì soltanto accreditata nei libri contabili del datore di lavoro, la cassa di compensazione può pertanto partire dalla presunzione che il reddito è stato realizzato nel momento di tale accredito. Il datore di lavoro come pure i lavoratori interessati possono tuttavia fornire la controprova dell'esistenza di una mera aspettativa alla rimunerazione o al salario. Nella decisione contestata la Cassa ha pertinentemente osservato: " (…) Nel caso in esame si rileva che: -    la società, iscritta alla Cassa dal 1° marzo 2014, ha versato gli acconti richiesti per il 2°, 3° e 4° trimestre 2014; -    il conteggio di chiusura per fanno 2014 è stato emesso una prima volta il 28 maggio 2015 sulla base della dichiarazione dei salari presentata dalla società (salari: CHF 49'000.00) e poi nuovamente il 19 agosto 2015 a seguito della richiesta di rettifica inoltrata dalla società (salari: CHF 31'350.00); -    per il 2015 la società ha versato i quattro acconti trimestrali; il conteggio di chiusura è stato emesso il 9 maggio 2016 (salari: CHF 39'600.00); -    per l’anno 2019 sono stati pagati i quattro acconti trimestrali; il conteggio di chiusura è stato emesso il 30 gennaio 2020 (safari: CHF 45'900.00); -    tutte le dichiarazioni salariali presentate per gli anni dal 2014 al 2019 sono state controfirmate dall'opponente, confermando egli così – come indicato sul modulo – (l'esattezza dei dati indicati (cfr. doc. Ai-2, B, C, D, E ed F); -    per l'anno 2020 sono stati fatturati tre acconti trimestrali (rimasti impagati), mentre il conteggio di chiusura è stato effettuato l'11 febbraio 2021 in base ai dati ricostruiti dal Servizio ispettorato della Cassa (doc. G); -    i salari alla base dei calcoli effettuati dalla Cassa risultano dalle dichiarazioni salariali inoltrate nel tempo dalla società e trovano pure riscontro nei dati contabili fomiti successivamente alla Cassa dalla __________. (…)” (doc. A3 pag. 7) La convenuta ha poi incontestatamente evidenziato che “né contro le suindicate chiusure effettuate dalla Cassa, né contestualmente alla diffida e/o allea precettazioni dei relativi importi la società ha mai eccepito alcunché, se non dopo il fallimento ” (sottolineatura del redattore) . Ha poi spiegato che “per quanto attiene alla chiusura 2014 – peraltro effettuata nel 2015 e poi non più messa in discussione – va rilevato che il motivo della rettifica è da ricondurre all’adeguamento del salario determinante AVS sulla scorta delle ore di lavoro effettivamente svolte dai lavoratori (grado di occupazione del 55%, doc. A2) e non alla rinuncia degli stessi ad una parte di un salario maturato in base ad un lavoro realmente svolto (sottolineatura del redattore) . Va poi rilevato che le masse salariali dal 2014 al 2019, dichiarate nelle rispettive distinte salari (doc. A1/2, B-FF), risultano contabilmente registrati alla voce “stipendi” (cfr. doc. A9.1- 9.6). Per il 2020 (gennaio – marzo), come detto, la somma salariale è stata accertata dall’Ispettore della Cassa durante il consueto contro del datore di lavoro (doc. G). Solo con scritto 2 novembre 2020 – quindi dopo il fallimento aperto il 17 agosto 2020 -, la fiduciaria della società ha chiesto alla Cassa una modifica retroattiva delle chiusure salariali nel senso di stralciare i salari cui i dipendenti __________ e __________ avevano rinunciato con dichiarazioni da loro firmate il 23 ottobre 2020, i cui “accrediti a favore della società andranno versati all’ufficio fallimenti di __________ ” (doc. A5.2). Tale richiesta è stata respinta dalla Cassa il 14 giugno 2021 (doc. A.6). Il 2 settembre 2021 la stessa fiduciaria, ribadendo la richiesta di revisione delle distinte salariali inoltrata il 2 novembre 2020, ha chiesto di stralciare per il dipendente __________ salari di fr. 4'634,70 per il 2014 e fr. 19'800 per il 2015 e per Di Simone fr. 45'110 di salario del 2015 e fr. 11.275 di salario del 2020. Richiesta nuovamente respinta dalla Cassa il 20 settembre 2021 (sub doc. 6). Rinunce salariali, quelle di cui sopra, che come esposto nella succitata giurisprudenza ai fini contributivi non sono rilevanti. Inoltre dagli atti non emerge che al momento dell’accredito salariale la situazione finanziaria del datore di lavoro fosse così grave da far dipendere il versamento del salario dal miglioramento dell’andamento della società, circostanza che, come visto dalla citata giurisprudenza, viene per altro ammessa con molta prudenza. A tal riguardo, nella decisione contestata la Cassa ha pertinentemente rilevato che. " Va inoltre sottolineato che i salari complessivi assoggettati dalla Cassa per il periodo 2014-2020 ammontano ad oltre CHF 188'000.00, mentre le asserite rinunce salariali rappresentano poco più di CHF 80'000.00. È quindi evidente che la società non sì è sempre trovata in una situazione di illiquidità, essendo stata in grado di corrispondere oltre il 50% dei salari maturati dai signori __________ e __________ (ad esempio: nessuna rivendicazione/rinuncia salariale è stata effettuata dal signor __________ per gli anni dal 2014 al 2C)18). E questo in contraddizione con l'affermazione dell'opponente, secondo la quale la società avrebbe presto rinunciato al versamento dei salari (ndr: semmai è il dipendente che vi rinuncia) a causa delle sue difficoltà finanziarie.” Determinante è che le spettanze salariali, come visto, sono state dichiarate all’AVS e contabilizzate. Che poi siano state effettivamente versate, sempre con riferimento alla succitata giurisprudenza, non è rilevante. Altri indizi che si trattava di salari maturati li ha forniti la Cassa che, sempre nella decisione contestata, ha rilevato: " (…) Del resto il fatto che il signor __________ nella sua lettera di disdetta del 1° aprile 2020 si dichiarasse conscio del fatto che, non dando un preavviso di un mese, il suo stipendio sarebbe stato decurtato di un quarto dimostra che il dipendente aveva un contratto con una retribuzione fissa e che in tale data si attendeva ancora di ricevere quanto a lui spettante (doc. H). Inoltre, in seguito ad un accertamento effettuato presso l'assicuratore LPP, è emerso che l'opponente ha notificato per il 2019 -vale a dire per lo stesso anno per il quale vorrebbe ora far ritenere una mera aspettativa il salario di CHF 45'900.00 del signor __________ - una massa salariale per quest'ultimo pressoché di egual ammontare, senza peraltro aver richiesto anche a tale ente una rettifica retroattiva. Anzi, al signor __________ è stata addirittura versata una prestazione di libero passaggio - evidentemente calcolata anche su tali retribuzioni -, malgrado il dipendente stesso abbia poi formalmente rinunciato a tali retribuzioni il 23 ottobre 2020 solo nei confronti della Cassa CO 1 (doc I). (…)” (doc. A3 pag . 8-9) Da ultimo, con la risposta di causa pertinentemente la Cassa ha rilevato che alla base della rinuncia salariale vi è un accordo, datato 9 novembre 2020 – quindi sempre successivamente all’apertura del fallimento – tra il ricorrente ed il dipendente __________, finalizzato “ ad accordarsi sul pagamento al sig. RI 1 delle sue spettanze come amministratore della FA 1 in liquidazione, e delle quali il sig. __________ è solidalmente responsabile con la società ” (doc. A11). Stando a questo documento, la rinuncia salariale sarebbe servita a compensare – ammessa e non concessa la legittimità di una siffatta compensazione – le spettanze dell’ex socio gerente per l’amministratore della FA 1, ciò che presuppone comunque che nei confronti della società il citato dipendente vantava un credito salariale. In conclusione, come visto sopra, non si può concludere che il versamento dei succitati salari, il cui diritto è stato accertato, avesse un carattere aleatorio e dipendesse esclusivamente dall’andamento della società, motivo per cui non si trattava di “mere aspettative” salariali. Di conseguenza, rettamente la Cassa ha assoggettato ai contributi sociali i salari dichiarati nelle relative distinte. Ricordato che la società non ha integralmente versato i contributi 2019 e 2020 (quest’ultimo sino a marzo), la Cassa ha correttamente chiesto, in via sussidiaria, al ricorrente – dimissionario il 28 aprile 2020 – il risarcimento del danno subito di fr. 5'502,85.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 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subìto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ss. consid. 1b). 2.7.  Nella fattispecie concreta, come esposto al considerando precedente, il mancato versamento di contributi configura una grave negligenza. Occorre poi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op. cit., n. 668 ss. pagg. 156 ss.; vedi anche Meyer, op. cit., pagg. 25 ss. e 35 ss.; cfr. anche STF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 cit., n. 668 seg. pag. 156 ss.; vedi anche Meyer, op. cit., pagg. 25 ss. e 35 ss.;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696ss pagg. 163 ss.; cfr. anche Meyer, op. cit., pag.36).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In concreto, va fatto presente che la FA 1, dopo numerose diffide e precetti, non ha liquidato il conteggio finale del 2019 (cfr. specchietto riassuntivo dei pagamenti dei contributi in doc. 4), lasciando inoltre totalmente scoperti i contributi del 2020 (trattasi in concreto del conguaglio del I trimestre [cfr. specchietto riassuntivo del 2020 in doc 5], avendo l’unico dipendente della società terminato la sua attività il 31 marzo 2020 [cfr. rapporto di revisione 9 febbraio 2021 in doc. 1/G]), quindi per un lasso di maggiore del periodo tollerato di tre mesi di cui alla succitata giurisprudenza. In queste condizioni si può affermare che i problemi di liquidità della società erano ormai cronici, rimanendo scoperti contributi dovuti sull’arco di un lungo periodo.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a breve la Cassa riguardo ai suoi crediti (STF H 279/01 del 12 dicembre 2002 consid. 3.2, H 103/01 dell'11 gennaio 2002 consid. 4c; DTF 123 V 244 consid. 4b e 108 V 188). Viste le circostanze sopra rilevate vi è piuttosto da ritenere il contrario. 2.8. Con scritto 21 maggio 2022 il ricorrente ha fra l’altro chiesto il condono del danno da risarcire facendo presente la sua precaria situazione finanziaria (cfr. consid. 1.7). Nella procedura di risarcimento ex art. 52 LAVS non è contemplato l’istituto del condono (che presuppone i presupposti della buona fede e dell’onere gravoso, cfr. art. 25 LPGA). Secondo la giurisprudenza, non può essere riconosciuta la buona fede, condizione essenziale per ottenere il condono, nel caso in cui il richiedente ha agito intenzionalmente o per grave negligenza (RCC 1986 pag. 664). Se il datore di lavoro, o l’organo della persona giuridica, viene riconosciuto responsabile, questo significa che egli ha appunto agito intenzionalmente o per grave negligenza, per cui il condono è a priori escluso (STCA 31.2009.4 del 20 gennaio 2010). Inoltre, essendo la responsabilità ex art. 52 LAVS basata su un agire intenzionale o gravemente negligente e non essendo la pretesa risarcitoria identica a quella contributiva, una riduzione o un condono per applicazione analogica dell’art. 11 LAVS non entra in considerazione (Reichmuth, op. cit., n. 1259, pag. 297). Spetta comunque alla Cassa valutare, nell’ambito dell’esecuzione del presente giudizio, le reali possibilità d’incasso (ZAK 1986 pag. 448) ed eventualmente concedere un pagamento rateale secondo le modalità proposte dal ricorrente (cfr. consid. 1.8). 2.9.  Visto quanto sopra, la decisione impugnata merita conferma mentre il ricorso va respinto. 2.10.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ss.).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UELI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(STF 9C_394/2021 del 3 gennaio 2022).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