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31.2021.20 vom 23. Februar 2022</w:t>
      </w:r>
    </w:p>
    <w:p>
      <w:r>
        <w:t>TI Tribunale d'appello, 2022-02-23, IT</w:t>
      </w:r>
    </w:p>
    <w:p>
      <w:r>
        <w:rPr>
          <w:b/>
        </w:rPr>
        <w:t xml:space="preserve">Quelle: </w:t>
      </w:r>
      <w:r>
        <w:t>https://mcp.opencaselaw.ch/entscheid/ti_gerichte_31.2021.20</w:t>
      </w:r>
    </w:p>
    <w:p>
      <w:r>
        <w:t>FR: TI_GERICHTE 31.2021.20 du 23 février 2022</w:t>
      </w:r>
    </w:p>
    <w:p>
      <w:r>
        <w:t>IT: TI_GERICHTE 31.2021.20 del 23 febbraio 2022</w:t>
      </w:r>
    </w:p>
    <w:p>
      <w:pPr>
        <w:pStyle w:val="Heading2"/>
      </w:pPr>
      <w:r>
        <w:t>Regeste</w:t>
      </w:r>
    </w:p>
    <w:p>
      <w:r>
        <w:t>Responsabilità del datore di lavoro. Conferma dei danno fatto valere della Cassa. Le asserite difficoltà di mercato in determinati paesi e la crisi pandemica non costituiscono validi motivi di discolpa e/o di giustificazione. Conferma responsabilità di un gerente di una Sagl</w:t>
      </w:r>
    </w:p>
    <w:p>
      <w:pPr>
        <w:pStyle w:val="Heading2"/>
      </w:pPr>
      <w:r>
        <w:t>Erwägungen</w:t>
      </w:r>
    </w:p>
    <w:p>
      <w:r>
        <w:rPr>
          <w:b/>
        </w:rPr>
        <w:t>E. 1</w:t>
      </w:r>
    </w:p>
    <w:p>
      <w:r>
        <w:t>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2.9.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