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31.2021.2 vom 31. Mai 2021</w:t>
      </w:r>
    </w:p>
    <w:p>
      <w:r>
        <w:t>TI Tribunale d'appello, 2021-05-31, IT</w:t>
      </w:r>
    </w:p>
    <w:p>
      <w:r>
        <w:rPr>
          <w:b/>
        </w:rPr>
        <w:t xml:space="preserve">Quelle: </w:t>
      </w:r>
      <w:r>
        <w:t>https://mcp.opencaselaw.ch/entscheid/ti_gerichte_31.2021.2</w:t>
      </w:r>
    </w:p>
    <w:p>
      <w:r>
        <w:t>FR: TI_GERICHTE 31.2021.2 du 31 mai 2021</w:t>
      </w:r>
    </w:p>
    <w:p>
      <w:r>
        <w:t>IT: TI_GERICHTE 31.2021.2 del 31 maggio 2021</w:t>
      </w:r>
    </w:p>
    <w:p>
      <w:pPr>
        <w:pStyle w:val="Heading2"/>
      </w:pPr>
      <w:r>
        <w:t>Regeste</w:t>
      </w:r>
    </w:p>
    <w:p>
      <w:r>
        <w:t>Responsabilità del presidente poi gerente della SA ex art. 52 LAVS. Violato gravemente l'obbligo di diligenza e non dati motivi di giustificazione e/o discolpa</w:t>
      </w:r>
    </w:p>
    <w:p>
      <w:pPr>
        <w:pStyle w:val="Heading2"/>
      </w:pPr>
      <w:r>
        <w:t>Erwägungen</w:t>
      </w:r>
    </w:p>
    <w:p>
      <w:r>
        <w:rPr>
          <w:b/>
        </w:rPr>
        <w:t>E. 1</w:t>
      </w:r>
    </w:p>
    <w:p>
      <w:r>
        <w:t>dalla sua responsabilità art. 52 LAVS. I contributi paritetici devono essere riscossi, indipendentemente dal momento in cui il salario è stato pagato, su tutte le retribuzioni dovute per il periodo di attività lucrativa durante il quale era soggetto all’obbligo di contribuzione (DTF 110 V 225). Pertanto, secondo la giurisprudenza, i contributi sociali sono dovuti dal momento in cui il lavoratore realizza il suo diritto al salario (RCC 1976, pag. 87). Va inoltre rilevato che il Tribunale ha ripetutamente affermato, a proposito della scelta di differire il pagamento dei contributi paritetici, che esso deve essere, in primo luogo, obiettivamente indispensabile per la sopravvivenza della società e che, in secondo luogo, il datore di lavoro deve poter oggettivamente presumere di soddisfare entro breve termine – nel senso di pochi mesi e non anni – ogni suo credito nei confronti della cassa. Nel presente caso, invece, i contributi scoperti concernono un periodo abbastanza lungo e vale a dire per gli anni 2017 (1. – 2. – 3. trimestre) e 2018 (1. – 2. – 3. –</w:t>
      </w:r>
    </w:p>
    <w:p>
      <w:r>
        <w:rPr>
          <w:b/>
        </w:rPr>
        <w:t>E. 4</w:t>
      </w:r>
    </w:p>
    <w:p>
      <w:r>
        <w:t>Lptca) e porre a carico del ricorrente visto l’esito. 2.10.   Il TF, nella DTF 137 V 51, chiamato a pronunciarsi in merito all’ammissibilità del ricorso in materia di diritto pubblico in un caso concernente la responsabilità del datore di lavoro per il danno risultante dalla violazione delle prescrizioni in materia di AVS, ha stabilito che il ricorso in materia di diritto pubblico interposto contro un giudizio sulla responsabilità del datore di lavoro nei confronti di una cassa di compensazione fondata sull’art. 52 cpv. 1 LAVS è ammissibile solo qualora il valore litigioso raggiunga il limite di fr. 30'000.-- o in presenza di una questione di diritto di importanza fondamentale (circa l’interpretazione in un senso largo della nozione di “responsabilità dello Stato” ai sensi dell’art. 85 cpv. 1 lett. a LTF vedi Margit Moser-Szeless, Le recours en matière de droit public au Tribunal fédéral dans le domaine des assurances sociales – aspects choisis, in HAVE 2010 pag. 342; Mélanie Fretz, La responsabilité selon l’art. 52 LAVS: une comparaison avec les art. 78 LPGA e 52 LPP, in HAVE 2009 pag. 249; cfr. inoltre anche DTF 135 V 98 nella quale il TF si è pronunciato circa l’ammissibilità del ricorso in un caso concernente la responsabilità del titolare di una cassa di disoccupazione nei confronti della Confederazione per il danno derivante dal pagamento di prestazioni indebite e DTF 134 V 138 nella quale l’Alta Corte si è pronunciata circa l’ammissibilità di un ricorso in tema di responsabilità dell’Ufficio AI per i danni cagionati a un terzo evidenziando, in particolare, che l’eventuale presupposto della “questione di diritto di importanza fondamentale” – presupposto questo che, secondo l’art. 85 cpv. 2 LTF, renderebbe ammissibile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