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31.2019.9 vom 1. September 2020</w:t>
      </w:r>
    </w:p>
    <w:p>
      <w:r>
        <w:t>TI Tribunale d'appello, 2020-09-01, IT</w:t>
      </w:r>
    </w:p>
    <w:p>
      <w:r>
        <w:rPr>
          <w:b/>
        </w:rPr>
        <w:t xml:space="preserve">Quelle: </w:t>
      </w:r>
      <w:r>
        <w:t>https://mcp.opencaselaw.ch/entscheid/ti_gerichte_31.2019.9_d20200901</w:t>
      </w:r>
    </w:p>
    <w:p>
      <w:r>
        <w:t>FR: TI_GERICHTE 31.2019.9 du 1 septembre 2020</w:t>
      </w:r>
    </w:p>
    <w:p>
      <w:r>
        <w:t>IT: TI_GERICHTE 31.2019.9 del 1 settembre 2020</w:t>
      </w:r>
    </w:p>
    <w:p>
      <w:pPr>
        <w:pStyle w:val="Heading2"/>
      </w:pPr>
      <w:r>
        <w:t>Regeste</w:t>
      </w:r>
    </w:p>
    <w:p>
      <w:r>
        <w:t>Responsabilità di un amministratore unico di una SA. Il ricorrente contesta la quantificazione del danno e adduce di non essere stato responsabile per la conduzione della società che era in realtà affidata all'azionista. Decisione confermata in assenza di validi motivi di discolpa o giustificazione</w:t>
      </w:r>
    </w:p>
    <w:p>
      <w:pPr>
        <w:pStyle w:val="Heading2"/>
      </w:pPr>
      <w:r>
        <w:t>Erwägungen</w:t>
      </w:r>
    </w:p>
    <w:p>
      <w:r>
        <w:rPr>
          <w:b/>
        </w:rPr>
        <w:t>E. 21</w:t>
      </w:r>
    </w:p>
    <w:p>
      <w:r>
        <w:t>luglio 2015 e della giurisprudenza citata, deve assumersi le conseguenze anche del mancato pagamento dei contributi definitivi per gli anni 2014 e 2015 (limitatamente ai 6/12). Va qui pure nuovamente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che proceda in modo selettivo e mirato all'offerta e produzione dei mezzi di prova rilevanti per il giudizio e non incombendo ai giudici cantonali il compito di supplire ad eventuali carenze in tal senso (cfr., tra le altre, le STFA H 5/02 del 31 gennaio 2003 consid. 4.3; H 10 e 45/01 del 16 settembre 2002 consid. 4.3.2; H 170/01 del 23 luglio 2002 consid. 3.3; H 444/00 del 25 giugno 2002 consid. 4d e H 153/01 del 5 novembre 2001 consid. 4c.) -, questo Tribunale può prescindere dall’assunzione di ulteriori prove e in particolare dalla chiesta audizione testimoniale di TERZ 1, il quale peraltro non ha nemmeno dato seguito alla chiamata in causa di cui al decreto del 12 giugno 2019 (consid. 1.5).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infine ancora all’asserita esclusiva responsabilità di terzi, segnatamente di TERZ 1, azionista della società, va nuovamente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simili circostanze questo Tribunale deve concludere che non avendo adempiuto agli obblighi che la carica di amministratore unico gli imponeva, RI 1 deve essere ritenuto responsabile ex art. 52 LAVS del danno subìto dalla Cassa. Le circostanze addotte non sono motivi sufficienti per esonerarlo dalla sua responsabilità e per escludere l’esistenza di una negligenza grave.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In particolare, nemmeno è stato addotto, né quindi tantomeno comprovato, che la FA 1 si trovasse confrontata con una mancanza di liquidità passeggera e che l’omesso pagamento dei contributi fosse da considerare giustificato da prospettive allora esistenti per il salvataggio dell’azienda (in argomento cfr. DTF 123 V 244, 121 V 243, 108 V 188; STFA H 134/02 del 30 gennaio 2003, H 297/03 del 4 novembre 2004, H 277/01 del 29 agosto 2002). Non va in effetti dimenticato che la società, dopo numerose diffide dal settembre 2010 e l’avvio di procedure esecutive dal gennaio 2011, non ha liquidato completamente i contributi di svariati anni, segnatamente dal 2013 al 2017 (cfr. estratto conto, doc. 1A e 1B). I contributi residui sono rimasti scoperti, ragione per cui nel febbraio, maggio e settembre 2017 e ancora febbraio 2018 sono stati resi quattro attestati carenza beni definitivi e nel settembre 2017 è quindi stato dichiarato il fallimento della società. In queste condizioni si può affermare che i problemi di liquidità della società erano ormai cronici, rimanendo scoperti contributi dovuti sull’arco di un lungo periodo, per complessivi fr. 68'026.20 (spese amministrative e interessi di mora inclusi; doc. 5, 6).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STFA H 134/02 del 30 gennaio 2003, H 297/03 del 4 novembre 2004, H 277/01 del 29 agosto 2002). Come detto, il TFA ha circoscritto a due o tre mesi la perdita contributiva tollerabile dal profilo dell'art. 52 LAVS, a condizione che il datore di lavoro abbia regolarmente versato i precedenti contributi, circostanza che non corrisponde al caso in esame. La verità è che la società versava già da tempo in serie difficoltà economiche che non avrebbero dovuto autorizzare il ricorrente a dare priorità al pagamento dei salari o di altre pendenze, la prospettiva di un adempimento in un lontano futuro (o addirittura al termine di una procedura di esecuzione) non essendo un motivo di discolpa (cfr. in proposito la STCA del 28 maggio 2002 nella causa B., inc. 31.2001.36, consid. 2.8.1). Non si è dunque in presenza di un valido motivo di giustificazione previsto eccezionalmente dalla giurisprudenza del TFA (DTF 121 V 243, principi ancora confermati recentemente in STFA del 30 gennaio 2003 nella causa W. e P., H 134/02, consid. 3.1. e 3.2.; STFA del 27 gennaio 2003 nella causa D.C., A. P. e M.P., H93/01 + H 169/01, consid. 3.4.3).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circostanze rilevate è evidente il contrario. In effetti, l'avere procrastinato il pagamento dei contributi paritetici e lasciato scoperti gli oneri sociali sull’arco di diversi anni, è segno di una negligenza non indifferente del datore di lavoro e fa sorgere la responsabilità dell’amministratore unico cui incombeva per legge la massima vigilanza nella conduzione e nel controllo della società. Questa omissione costituisce una grave violazione del dovere di diligenza (cfr. RCC 1992 p. 269). 2.10.   Per quanto riguarda l’ammontare del danno di cui deve rispondere l’insorgente, alla luce di quanto precede, la Cassa ha sufficientemente documentato e quantificato la pretesa in fr. 31'276.10, corrispondente ai contributi paritetici scoperti riferiti agli anni 2013, 2014 e sino al giugno 2015. Come già esposto al consid. 2.3, il credito fatto valere dalla Cassa appare quindi esente da critiche e come tale va ammesso. Va pure osservato che i contributi di cui è chiesto il risarcimento si riferiscono a oneri scaduti durante il periodo in cui era in carica il ricorrente e venuti a scadenza entro la data delle dimissioni del ricorrente dalla carica di amministratore unico della SA, formalizzate con lettera del 21 luglio 2015. In proposito si rilevi in effetti che secondo la giurisprudenza del TFA, un amministratore è da ritenersi liberato dalla responsabilità ex art. 52 LAVS dalla data in cui egli ha dimissionato quale organo della società, a partire da questa data (e non dalla radiazione del Registro di Commercio) egli non avendo infatti più alcuna facoltà di controllo sull’attività della medesima (SVR 2000 AHV Nr. 24 = DTF 126 V 61 consid. 4a e 4b = Pratique VSI 2000, p. 293; STFA H 282/01 del 27 febbraio 2002, consid. 3a; DTF 112 V 1 consid. 3c e 3b; cfr. anche Forstmoser/Meier-Hyoz/Noberl, Schweizerisches Aktienrecht, Berna 1996 § 27 n. 54). Determinante ai fini dell'accertamento della durata della responsabilità dell'amministratore è il momento dell'estinzione effettiva del mandato (DTF 126 V 61; cfr. STFA H 153/00 del 24 aprile 2002 consid. 9; STFA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Come già esposto al consid. 2.3, il credito fatto valere dalla Cassa appare quindi esente da critiche e come tale va ammesso, ricordato nuovamente il principio per il quale se da un lato spetta all'amministrazione sostenere la propria pretesa mediante estratti, salari, fatture, ecc. (RDAT ll 1995 pag. 396), dall'altro, in caso di contestazione, incombe alla controparte, in virtù dell'obbligo di collaborazione, di comprovare l'inesattezza dell'importo richiesto dalla Cassa (RCC 1991, pag. 133). 2.11.   Visto quanto sopra esposto questo Tribunale deve pertanto concludere che l’insorgente – accettando la carica di organo formale e non attivandosi nella sua veste di amministratore unico con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2.9), deve assumersi le conseguenze del mancato pagamento dei contributi paritetici AVS/Al/IPG/AD e AF della FA 1, ora fallita, per l'ammontare di fr. 31'276.10 per gli anni 2013-2015, quest'ultimo sino al mese di giugno.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dell’amministratore unico della società, i rapporti interni tra gli azionisti della stessa non essendo in ogni modo di rilievo per la Cassa. 2.12.   Visto tutto quanto precede, il ricorso va respinto e la decisione contestata confermata.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