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31.2019.9 vom 6. Mai 2019</w:t>
      </w:r>
    </w:p>
    <w:p>
      <w:r>
        <w:t>TI Tribunale d'appello, 2019-05-06, IT</w:t>
      </w:r>
    </w:p>
    <w:p>
      <w:r>
        <w:rPr>
          <w:b/>
        </w:rPr>
        <w:t xml:space="preserve">Quelle: </w:t>
      </w:r>
      <w:r>
        <w:t>https://mcp.opencaselaw.ch/entscheid/ti_gerichte_31.2019.9</w:t>
      </w:r>
    </w:p>
    <w:p>
      <w:r>
        <w:t>FR: TI_GERICHTE 31.2019.9 du 6 mai 2019</w:t>
      </w:r>
    </w:p>
    <w:p>
      <w:r>
        <w:t>IT: TI_GERICHTE 31.2019.9 del 6 maggio 2019</w:t>
      </w:r>
    </w:p>
    <w:p>
      <w:pPr>
        <w:pStyle w:val="Heading2"/>
      </w:pPr>
      <w:r>
        <w:t>Erwägungen</w:t>
      </w:r>
    </w:p>
    <w:p>
      <w:r>
        <w:rPr>
          <w:b/>
        </w:rPr>
        <w:t>E. 21</w:t>
      </w:r>
    </w:p>
    <w:p>
      <w:r>
        <w:t>luglio 2015 e della giurisprudenza citata, deve assumersi le conseguenze anche del mancato pagamento dei contributi definitivi per gli anni 2014 e 2015 (limitatamente ai 6/12). Va qui pure nuovamente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Di conseguenza - atteso che è preciso dovere dell'interessato indicare con esattezza la documentazione di cui vuole avvalersi, potendosi da lui esigere che proceda in modo selettivo e mirato all'offerta e produzione dei mezzi di prova rilevanti per il giudizio e non incombendo ai giudici cantonali il compito di supplire ad eventuali carenze in tal senso (cfr., tra le altre, le STFA H 5/02 del 31 gennaio 2003 consid. 4.3; H 10 e 45/01 del 16 settembre 2002 consid. 4.3.2; H 170/01 del 23 luglio 2002 consid. 3.3; H 444/00 del 25 giugno 2002 consid. 4d e H 153/01 del 5 novembre 2001 consid. 4c.) -, questo Tribunale può prescindere dall’assunzione di ulteriori prove e in particolare dalla chiesta audizione testimoniale di TERZ 1, il quale peraltro non ha nemmeno dato seguito alla chiamata in causa di cui al decreto del 12 giugno 2019 (consid. 1.5).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Quanto infine ancora all’asserita esclusiva responsabilità di terzi, segnatamente di TERZ 1, azionista della società, va nuovamente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In simili circostanze questo Tribunale deve concludere che non avendo adempiuto agli obblighi che la carica di amministratore unico gli imponeva, RI 1 deve essere ritenuto responsabile ex art. 52 LAVS del danno subìto dalla Cassa. Le circostanze addotte non sono motivi sufficienti per esonerarlo dalla sua responsabilità e per escludere l’esistenza di una negligenza grave. 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In particolare, nemmeno è stato addotto, né quindi tantomeno comprovato, che la FA 1 si trovasse confrontata con una mancanza di liquidità passeggera e che l’omesso pagamento dei contributi fosse da considerare giustificato da prospettive allora esistenti per il salvataggio dell’azienda (in argomento cfr. DTF 123 V 244, 121 V 243, 108 V 188; STFA H 134/02 del 30 gennaio 2003, H 297/03 del 4 novembre 2004, H 277/01 del 29 agosto 2002). Non va in effetti dimenticato che la società, dopo numerose diffide dal settembre 2010 e l’avvio di procedure esecutive dal gennaio 2011, non ha liquidato completamente i contributi di svariati anni, segnatamente dal 2013 al 2017 (cfr. estratto conto, doc. 1A e 1B). I contributi residui sono rimasti scoperti, ragione per cui nel febbraio, maggio e settembre 2017 e ancora febbraio 2018 sono stati resi quattro attestati carenza beni definitivi e nel settembre 2017 è quindi stato dichiarato il fallimento della società. In queste condizioni si può affermare che i problemi di liquidità della società erano ormai cronici, rimanendo scoperti contributi dovuti sull’arco di un lungo periodo, per complessivi fr. 68'026.20 (spese amministrative e interessi di mora inclusi; doc. 5, 6).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STFA H 134/02 del 30 gennaio 2003, H 297/03 del 4 novembre 2004, H 277/01 del 29 agosto 2002). Come detto, il TFA ha circoscritto a due o tre mesi la perdita contributiva tollerabile dal profilo dell'art. 52 LAVS, a condizione che il datore di lavoro abbia regolarmente versato i precedenti contributi, circostanza che non corrisponde al caso in esame. La verità è che la società versava già da tempo in serie difficoltà economiche che non avrebbero dovuto autorizzare il ricorrente a dare priorità al pagamento dei salari o di altre pendenze, la prospettiva di un adempimento in un lontano futuro (o addirittura al termine di una procedura di esecuzione) non essendo un motivo di discolpa (cfr. in proposito la STCA del 28 maggio 2002 nella causa B., inc. 31.2001.36, consid. 2.8.1). Non si è dunque in presenza di un valido motivo di giustificazione previsto eccezionalmente dalla giurisprudenza del TFA (DTF 121 V 243, principi ancora confermati recentemente in STFA del 30 gennaio 2003 nella causa W. e P., H 134/02, consid. 3.1. e 3.2.; STFA del 27 gennaio 2003 nella causa D.C., A. P. e M.P., H93/01 + H 169/01, consid. 3.4.3).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riguardo ad ogni suo credito (cfr. STFA del 12 dicembre 2002 nella causa B, H 279/01, consid. 3.2; STFA dell'11 gennaio 2002 nella causa C., H 103/01, consid. 4c; DTF 123 V 244 consid. 4b; DTF 108 V 188). Viste le circostanze rilevate è evidente il contrario. In effetti, l'avere procrastinato il pagamento dei contributi paritetici e lasciato scoperti gli oneri sociali sull’arco di diversi anni, è segno di una negligenza non indifferente del datore di lavoro e fa sorgere la responsabilità dell’amministratore unico cui incombeva per legge la massima vigilanza nella conduzione e nel controllo della società. Questa omissione costituisce una grave violazione del dovere di diligenza (cfr. RCC 1992 p. 269). 2.10.   Per quanto riguarda l’ammontare del danno di cui deve rispondere l’insorgente, alla luce di quanto precede, la Cassa ha sufficientemente documentato e quantificato la pretesa in fr. 31'276.10, corrispondente ai contributi paritetici scoperti riferiti agli anni 2013, 2014 e sino al giugno 2015. Come già esposto al consid. 2.3, il credito fatto valere dalla Cassa appare quindi esente da critiche e come tale va ammesso. Va pure osservato che i contributi di cui è chiesto il risarcimento si riferiscono a oneri scaduti durante il periodo in cui era in carica il ricorrente e venuti a scadenza entro la data delle dimissioni del ricorrente dalla carica di amministratore unico della SA, formalizzate con lettera del 21 luglio 2015. In proposito si rilevi in effetti che secondo la giurisprudenza del TFA, un amministratore è da ritenersi liberato dalla responsabilità ex art. 52 LAVS dalla data in cui egli ha dimissionato quale organo della società, a partire da questa data (e non dalla radiazione del Registro di Commercio) egli non avendo infatti più alcuna facoltà di controllo sull’attività della medesima (SVR 2000 AHV Nr. 24 = DTF 126 V 61 consid. 4a e 4b = Pratique VSI 2000, p. 293; STFA H 282/01 del 27 febbraio 2002, consid. 3a; DTF 112 V 1 consid. 3c e 3b; cfr. anche Forstmoser/Meier-Hyoz/Noberl, Schweizerisches Aktienrecht, Berna 1996 § 27 n. 54). Determinante ai fini dell'accertamento della durata della responsabilità dell'amministratore è il momento dell'estinzione effettiva del mandato (DTF 126 V 61; cfr. STFA H 153/00 del 24 aprile 2002 consid. 9; STFA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Come già esposto al consid. 2.3, il credito fatto valere dalla Cassa appare quindi esente da critiche e come tale va ammesso, ricordato nuovamente il principio per il quale se da un lato spetta all'amministrazione sostenere la propria pretesa mediante estratti, salari, fatture, ecc. (RDAT ll 1995 pag. 396), dall'altro, in caso di contestazione, incombe alla controparte, in virtù dell'obbligo di collaborazione, di comprovare l'inesattezza dell'importo richiesto dalla Cassa (RCC 1991, pag. 133). 2.11.   Visto quanto sopra esposto questo Tribunale deve pertanto concludere che l’insorgente – accettando la carica di organo formale e non attivandosi nella sua veste di amministratore unico con firma individuale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2.9), deve assumersi le conseguenze del mancato pagamento dei contributi paritetici AVS/Al/IPG/AD e AF della FA 1, ora fallita, per l'ammontare di fr. 31'276.10 per gli anni 2013-2015, quest'ultimo sino al mese di giugno. Se, come nel presente caso,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Legittimamente quindi la Cassa ha optato per la richiesta di risarcimento nei confronti dell’amministratore unico della società, i rapporti interni tra gli azionisti della stessa non essendo in ogni modo di rilievo per la Cassa. 2.12.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