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31.2019.22 vom 19. Mai 2020</w:t>
      </w:r>
    </w:p>
    <w:p>
      <w:r>
        <w:t>TI Tribunale d'appello, 2020-05-19, IT</w:t>
      </w:r>
    </w:p>
    <w:p>
      <w:r>
        <w:rPr>
          <w:b/>
        </w:rPr>
        <w:t xml:space="preserve">Quelle: </w:t>
      </w:r>
      <w:r>
        <w:t>https://mcp.opencaselaw.ch/entscheid/ti_gerichte_31.2019.22</w:t>
      </w:r>
    </w:p>
    <w:p>
      <w:r>
        <w:t>FR: TI_GERICHTE 31.2019.22 du 19 mai 2020</w:t>
      </w:r>
    </w:p>
    <w:p>
      <w:r>
        <w:t>IT: TI_GERICHTE 31.2019.22 del 19 maggio 2020</w:t>
      </w:r>
    </w:p>
    <w:p>
      <w:pPr>
        <w:pStyle w:val="Heading2"/>
      </w:pPr>
      <w:r>
        <w:t>Regeste</w:t>
      </w:r>
    </w:p>
    <w:p>
      <w:r>
        <w:t>Responsabilità del datore di lavoro. Nel caso concreto la procedura ex art. 52 non è prematura. Sulla base della comunicazione dell'Ufficio fallimenti il danno è almeno sorto parzialmente e la Cassa poteva iniziare la procedura</w:t>
      </w:r>
    </w:p>
    <w:p>
      <w:pPr>
        <w:pStyle w:val="Heading2"/>
      </w:pPr>
      <w:r>
        <w:t>Erwägungen</w:t>
      </w:r>
    </w:p>
    <w:p>
      <w:r>
        <w:rPr>
          <w:b/>
        </w:rPr>
        <w:t>E. 1</w:t>
      </w:r>
    </w:p>
    <w:p>
      <w:r>
        <w:t>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Nel caso in esame, nella decisione contestata (cfr. consid. 5.4) la Cassa ha fatto presente che nell’ambito delle proprie ricostruzioni relative alle rivendicazioni salariali dei dipendenti della società ha potuto accertare che per gli anni dal 2015 al 2017 “ una parte dei salari sono stati versati a contanti e in nero al proprio personale; nella maggior parte dei casi il salario notificato alla Cassa non era conforme al salario a cui i dipendenti, per anzianità e monte ore espletate avrebbe avuto diritto secondo il CCL di riferimento; al personale non è stata riconosciuta alcuna indennità per il tempo di trasferta (soggetta a contribuzione AVS) ”. Quanto sopra non è stato oggetto di contestazione. Anzi nel gravame l’insorgente, amministratore unico della FA 1, ha scritto che “ conferma ed accetta qualsivoglia responsabilità ex art. 52 LAVS.” 2.6.   Visto quanto sopra, confermata la responsabilità ex art. 52 LAVS del ricorrente per il danno subito di fr. 71'880,15, riservata la cessione di un eventuale dividendo da fallimento da parte della Cassa, il ricorso va respinto. 2.7.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