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31.2019.21 vom 18. August 2020</w:t>
      </w:r>
    </w:p>
    <w:p>
      <w:r>
        <w:t>TI Tribunale d'appello, 2020-08-18, IT</w:t>
      </w:r>
    </w:p>
    <w:p>
      <w:r>
        <w:rPr>
          <w:b/>
        </w:rPr>
        <w:t xml:space="preserve">Quelle: </w:t>
      </w:r>
      <w:r>
        <w:t>https://mcp.opencaselaw.ch/entscheid/ti_gerichte_31.2019.21</w:t>
      </w:r>
    </w:p>
    <w:p>
      <w:r>
        <w:t>FR: TI_GERICHTE 31.2019.21 du 18 août 2020</w:t>
      </w:r>
    </w:p>
    <w:p>
      <w:r>
        <w:t>IT: TI_GERICHTE 31.2019.21 del 18 agosto 2020</w:t>
      </w:r>
    </w:p>
    <w:p>
      <w:pPr>
        <w:pStyle w:val="Heading2"/>
      </w:pPr>
      <w:r>
        <w:t>Erwägungen</w:t>
      </w:r>
    </w:p>
    <w:p>
      <w:r>
        <w:rPr>
          <w:b/>
        </w:rPr>
        <w:t>E. 21</w:t>
      </w:r>
    </w:p>
    <w:p>
      <w:r>
        <w:t>giugno 2016 (doc. 6). Con la risposta di causa la Cassa ha ricontrollato la posizione e rilevato che la rivendicazione delle vacanze residue e della 13a non erano state limitate al 20 giugno 2016 (ma al novembre 2016), riducendo pertanto l’ammontare del salario rivendicato a fr. 28'813.-- (a fronte dei fr. 33'648.-- esposti nella decisione contestata). A tale calcolo va prestata adesione. (…)” .                                        Quindi, nell’ambito della FA 1 la Cassa ha tenuto conto dei salari versati da metà giugno 2016, mentre quelli precedenti sono stati computati alla __________. Non vi è stata quindi una doppia imposizione dei contributi partiteci per le medesime mensilità. 2.4.3.   In conclusione, visto quanto sopra, questo TCA non può che confermare l’ammontare del danno fatto valere dalla Cassa essendo stato debitamente comprovato. Né del resto il ricorrente ha portato la controprova circa la non affidabilità dei conteggi eseguiti dall’amministrazione. 2.5.   Premesso quanto sopra, occorre stabilire la responsabilità ex art. 52 LAVS del ricorrente. A tal riguardo occorre rilevare che,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2.6. La cassa di compensazione che costata di aver subito un danno in seguito alla non osservanza delle prescrizioni (ad es. dell'art. 14 LAVS, relativo all'obbligo di dedurre da ogni paga i contributi e di versarli periodicamente alla cassa, rispettivamente degli artt.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2.7.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186ss. consid. 1b). 2.8.   Ritornando al caso in esame, come detto, il ricorrente rileva innanzitutto di esser stato scelto quale membro del Cda della FA 1 viste le sue competenze tecniche (ingegnere chimico), di non aver mai assunto una carica operativa in seno alla società, contrariamente a TERZ 1 che controllava i flussi finanziari societari avendo infatti diritto di firma sui conti della stessa. Quanto sostenuto dal ricorrente non è sufficiente per esonerarlo da una sua responsabilità ex art. 52 LAVS. Occorre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Segnatamente è suo preciso dovere vigilare e attivarsi di conseguenza affinché i contributi vengano regolarmente versati (DTF 108 V 202 consid. 3a; RCC 1992 p. 268 consid. 4b).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Non è pertanto esimente da responsabilità che il ricorrente abbia evidenziato di aver assunto la carica di amministratore unico della società a motivo delle sue competenze tecniche (ingegnere chimico), senza percepire alcun compenso e senza aver avuto alcun potere decisionale. Conformemente alla suevocata giurisprudenza, a lui, quale amministratore, incombevano (almeno) gli obblighi di vigilanza. Va poi ricordato che prima che il ricorrente diventasse membro del CdA la società non aveva versato regolarmente i contributi (cfr. a tal riguardo la citata istanza di fallimento senza preventiva esecuzione), costringendo la Cassa per quel che concerne l’incasso dei contributi 205 a diffidarla il 9 marzo 2015 ed il 3 agosto 2015 (cfr. specchietto evoluzione del debito contributivo del 2015 in doc. 7). Nondimeno va rilevato che durante il suo periodo quale membro del CdA la società non ha versato alcun contributo nonostante che l’amministrazione abbia emesso quattro diffide ed altrettanti precetti esecutivi (cfr. specchietto evoluzione del debito contributivo del 2016 in doc. 8). Inoltre, nel periodo in cui il ricorrente era in carica quale amministratore la FA 1 era una piccola società, con tre dipendenti (cfr. le citate distinte salari 2015 e 2016). Facendo uso della diligenza richiesta dal suo ruolo di amministratore, egli avrebbe dovuto (regolarmente) controllare lo stato dei pagamenti dei contributi. Sia in proposito rilevato che l’insorgente non ha provato di essere stato impedito di ottenere le necessarie informazioni in merito al pagamento dei contributi sociali o in generale sulla situazione finanziaria della società (STFA H 194/01 del 4 febbraio 2002; H 38/01 del 17 gennaio 2002; STFA H 115/00 e H 132/00 dell'8 marzo 2001). La passività dimostrata dall’insorgente è quindi in relazione di causalità naturale e adeguata con il danno subito dalla Cassa (STFA 21 maggio 2003 nella causa A. [H 13/03], 13 maggio 2002 nella causa A. [H 65 /01] e 17 gennaio 2002 nella causa A. e B. [H 38/01]). In queste circostanze, non avendo adempiuto agli obblighi che la carica di amministratore gli imponeva, il ricorrente deve essere ritenuto responsabile ex art. 52 LAVS del danno subito dalla Cassa. 2.9.   Conformemente la giurisprudenza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9C-812/2007 del 12 dicembre 2008 consid. 3.2 con riferimenti; cfr. in dettaglio Reichmuth, op. cit., n. 668s, pagg. 156ss; vedi anche Meyer, Die Rechtsprechung des Eidgenössischen Versicherungsgerichts zur Arbeitgeberhaftung; in: Temi scelti di diritto delle assicurazioni sociali, 2006, pagg. 25ss e 35s;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pagg. 163 ss; cfr. anche Meyer,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Nel caso in esame, va rilevato che, nonostante il risanamento operato nel settembre 2015, la società non ha saldo integralmente i contributi di quell’anno, lasciando scoperti quelli del 2016. Non è quindi affatto accertato, con l'alto grado di verosimiglianza richiesto dalla giurisprudenza, che la scelta di non versare integralmente i contributi paritetici fosse, secondo una valutazione ragionevole, obiettivamente indispensabile per tentare, di fronte comunque ad una cronica mancanza di liquidità, il salvataggio della società; nemmeno è assodato che il datore di lavoro potesse oggettivamente presumere di soddisfare entro breve termine la Cassa di compensazione riguardo ad ogni suo credito (STFA H 279/01 del 12 dicembre 2002 consid. 3.2; STFA H 103/01 dell'11 gennaio 2002 consid. 4c; DTF 123 V 244 consid. 4b; DTF 108 V 188). Viste le circostanze rilevate era pensabile il contrario. Ne consegue che la responsabilità ex art 52 LAVS del ricorrente va confermata. Per quel che concerne l’ammontare del danno, ritenuti i pagamenti effettuati da TERZ 2 e TERZ 1 per fr. 1'750.-- successivamente alla decisione contestata, esso va aggiornato a fr. 22'995,60 (24'745,60 – 1'750). In tal senso il ricorso è da accogliere parzialmente. Siccome i succitati pagamenti non hanno inciso sulla posizione del ricorrente e ritenuto che il suo obbligo di risarcimento ex art. 52 LAVS è stato confermato con il presente giudizio e che quindi non può essere ravvisata una sua vittoria, nemmeno parziale, tantomeno una soccombenza da parte della Cassa, appare giustificato non assegnare ripetibili (cfr. al riguardo: STF H 67/01 del 5 agosto 2002 e STCA 31.2005.7 del 22 febbraio 2006). 2.10. Con osservazioni 16 dicembre 2019 il ricorrente ha chiesto di richiamare dalla Cassa l’incarto relativo alla società ed i documenti prodotti nell’ambito della procedura di opposizione, dal TCA l’inc. 31.2019.2 in relazione alla AMH SA, dall’UF l’incarto relativo alla liquidazione della società e dall’ufficio di revisione il bilancio certificato nel settembre 2015 per il risanamento della AEH SA. Occorre innanzitutto ricordare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 Kieser, op. cit., pag. 212; Kölz/Häner, Verwaltungsverfahren und Verwaltungsrechtspflege des Bundes, 1998, pag. 39 no. 111 e pag. 117 no. 320; DTF 122 II 469, 122 III 223). In tal caso non sussiste una violazione del diritto di essere sentito conformemente all'art. 29 cpv. 2 Cost. (SVR 2001 IV N. 10 pag. 28; DTF 124 V 94 ). Nel caso in esame va fatto presente che gli atti della Cassa sono stati prodotti con la risposta di causa, il bilancio certificato settembre 2015 è stato richiamato dal TCA, mentre l’altra documentazione richiesta non è necessaria per il presente giudizio. 2.11.   Non avendo i legali dei chiamati in causa postulato la reiezione del ricorso, essi non hanno diritto a ripetibili (sul diritto a ripetibili dei terzi chiamati in causa risultanti vittoriosi: STFA inedite 26 agosto 2002 nella causa S, H 204/00, consid. 6 e 10 luglio 2006 nella causa S, K 8/06, consid. 7; Zünd, Kommentar zum Gesetz über das Sozialversicherungsgesricht des Kantons Zürich, Zurigo 1999, § 34 N. 4 pag. 239 con riferimenti; Reichmuth, op. cit., § 13 n. 1132 pag. 268).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