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31.2018.6 vom 11. Februar 2019</w:t>
      </w:r>
    </w:p>
    <w:p>
      <w:r>
        <w:t>TI Tribunale d'appello, 2019-02-11, IT</w:t>
      </w:r>
    </w:p>
    <w:p>
      <w:r>
        <w:rPr>
          <w:b/>
        </w:rPr>
        <w:t xml:space="preserve">Quelle: </w:t>
      </w:r>
      <w:r>
        <w:t>https://mcp.opencaselaw.ch/entscheid/ti_gerichte_31.2018.6</w:t>
      </w:r>
    </w:p>
    <w:p>
      <w:r>
        <w:t>FR: TI_GERICHTE 31.2018.6 du 11 février 2019</w:t>
      </w:r>
    </w:p>
    <w:p>
      <w:r>
        <w:t>IT: TI_GERICHTE 31.2018.6 del 11 febbraio 2019</w:t>
      </w:r>
    </w:p>
    <w:p>
      <w:pPr>
        <w:pStyle w:val="Heading2"/>
      </w:pPr>
      <w:r>
        <w:t>Regeste</w:t>
      </w:r>
    </w:p>
    <w:p>
      <w:r>
        <w:t>Responsabilità ex art. 52 LAVS del gerente di una Sagl. Violato gravemente l'obbligo di diligenza. Non dati motivi di giustificazione e/o di discolpa e nemmeno una concolpa della cassa. Confermato l'importo del danno fatto valere</w:t>
      </w:r>
    </w:p>
    <w:p>
      <w:pPr>
        <w:pStyle w:val="Heading2"/>
      </w:pPr>
      <w:r>
        <w:t>Erwägungen</w:t>
      </w:r>
    </w:p>
    <w:p>
      <w:r>
        <w:rPr>
          <w:b/>
        </w:rPr>
        <w:t>E. 28</w:t>
      </w:r>
    </w:p>
    <w:p>
      <w:r>
        <w:t>novembre 2005, H 142/03 del 19 agosto 2003, H 268/01 e H 269/01 del 5 giugno 2003 , H 265/00 del 20 marzo 2003, H 284/02 del 19 febbraio 2003; DTF 123 V 12, 113 V 256, 112 V 157; RCC 1991 pag. 132, 1990 pag. 304; Nussbaumer , Les caisses de compensation en tant que parties à une procédure de réparation d’un dommage selon l’art. 52 LAVS, in: RCC 1991 pag. 405 ). Con l'attestato di carenza beni (definitivo) a seguito di pignoramento si anticipa quello che è normalmente il momento della conoscenza del danno, ossia prima del deposito della graduatoria nel fallimento o prima della sospensione del fallimento per mancanza di attivi ai sensi dell'art. 230 LEF. 2.3.   Costituiscono elementi del danno risarcibile, tra l’altro, i contributi AVS/AI/IPG, sia per la parte del salariato che quella del datore di lavoro (STFA H 166/02 del 28 ottobre 2002 consid. 4.1; STCA del 10 giugno 2002 consid. 2.3 inc. 31.2002.10; Pratique VSI 1994 pag.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STFA H 113/00 del 24 ottobre 2000 consid. 6 e RtiD II 2006 pagg. 368-370). Non sono invece computabili le multe inflitte dalla Cassa (STFA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Nel caso in esame, come accennato (cfr. consid. 1.3), il danno è costituito da mancato versamento dei contributi AVS/AI/IPG/AD e AF per gli anni dal 2009 al 2016 (quest’ultimo sino al mese di ottobre), così come risulta dagli estratti dei contributi paritetici per gli anni 2014, 2015 e 2016 (acconti), con le relative dichiarazioni dei salari e l’ “Estratto conto contributi paritetici Periodo 01.01.2009 – 31.12.2013 Conteggio di revisione del 15.10.2014” (cfr. doc. 3 e la decisione di tassazione d’ufficio del 15 ottobre 2014 cresciuta incontestata in giudicato sub doc. 4). L’importo complessivo di fr. 162'473.30 (8'513 + 48'292 +63'769.15 + 41'899.15, cfr. doc. 3), peraltro non contestato, fatto valere nei confronti di RI 1 è quindi da ritenere adeguatamente comprovato, ricordato altresì come conformemente alla legge (art. 41bis OAVS) e alla succitata giurisprudenza, le spese di amministrazione, gli interessi moratori e le spese di diffida e esecutive costituiscono elementi del danno risarcibile unitamente ai contributi paritetici rimasti scoperti.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2.6.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2.7.   Nella fattispecie concreta – osservato come vi sia da ritenere che egli faccia valere, oltre a quelle addotte nel ricorso (cfr. consid. 1.4), anche le censure sollevate in sede di opposizione; nel petitum l’insorgente chiede, infatti, che “(…) l’opposizione del 27 marzo 2018 del signor RI 1 è accolta. (…)” (I, pag. 4) – il ricorrente sostiene che nessuna responsabilità per il mancato pagamento degli oneri sociali da parte della società può essergli attribuita, adducendo che “(…) devo infatti contestare qualsiasi negligenza grave del mio agire, in quanto non mi sono mai occupato delle questioni contabili, anche perché non ho alcuna formazione in tale ambito. Da parte mia, mi sono sempre e solo occupato della parte tecnica della società, siccome non ho alcuna capacità amministrativa, che è stata sempre assunta e gestita dalla signora TERZ 1. (…)” (doc. 2). Tali affermazioni non giovano all’ex socio e gerente. Va innanzitutto rilevato che, accettando la carica di socio e gerente con diritto di firma collettiva a due della Sagl l’insorgente ha assunto tutti gli oneri che da tale funzione derivano. Va ricordato che, secondo giurisprudenza, i soci gerenti e i gerenti di una Sagl rispondono dei danni causati dal non pagamento dei contributi sociali come gli organi di una società anonima. Pertanto nell'ambito della responsabilità ex art. 52 LAVS, il gerente (e il socio gerente) di una Sagl deve essere parificato ad un amministratore di una società anonima (DTF 126 V 238 = Pratique VSI 2000, pagg. 226-229; cfr. anche Pratique VSI 2002 pagg. 177seg; STFA H 20/01 del 21 giugno 2001). Il suo comportamento nell’ambito della gestione va quindi valutato secondo gli stessi criteri applicati agli amministratori di questa società (STF 9C_788/ 2007 del</w:t>
      </w:r>
    </w:p>
    <w:p>
      <w:r>
        <w:rPr>
          <w:b/>
        </w:rPr>
        <w:t>E. 29</w:t>
      </w:r>
    </w:p>
    <w:p>
      <w:r>
        <w:t>agosto 2002; RCC 1992 pag. 261). 2.9.   Visto tutto quanto precede il ricorso va dunque respinto e la decisione impugnata confermata. 2.10.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