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31.2018.3 vom 14. August 2018</w:t>
      </w:r>
    </w:p>
    <w:p>
      <w:r>
        <w:t>TI Tribunale d'appello, 2018-08-14, IT</w:t>
      </w:r>
    </w:p>
    <w:p>
      <w:r>
        <w:rPr>
          <w:b/>
        </w:rPr>
        <w:t xml:space="preserve">Quelle: </w:t>
      </w:r>
      <w:r>
        <w:t>https://mcp.opencaselaw.ch/entscheid/ti_gerichte_31.2018.3</w:t>
      </w:r>
    </w:p>
    <w:p>
      <w:r>
        <w:t>FR: TI_GERICHTE 31.2018.3 du 14 août 2018</w:t>
      </w:r>
    </w:p>
    <w:p>
      <w:r>
        <w:t>IT: TI_GERICHTE 31.2018.3 del 14 agosto 2018</w:t>
      </w:r>
    </w:p>
    <w:p>
      <w:pPr>
        <w:pStyle w:val="Heading2"/>
      </w:pPr>
      <w:r>
        <w:t>Regeste</w:t>
      </w:r>
    </w:p>
    <w:p>
      <w:r>
        <w:t>Responsabilità ex art. 52 LAVS dell'amministratore unico. Violato gravemente l'obbligo di diligenza. Non dati motivi di giustificazione e/o discolpa</w:t>
      </w:r>
    </w:p>
    <w:p>
      <w:pPr>
        <w:pStyle w:val="Heading2"/>
      </w:pPr>
      <w:r>
        <w:t>Erwägungen</w:t>
      </w:r>
    </w:p>
    <w:p>
      <w:r>
        <w:rPr>
          <w:b/>
        </w:rPr>
        <w:t>E. 1</w:t>
      </w:r>
    </w:p>
    <w:p>
      <w:r>
        <w:t>non trovava altri amministratori. (…)” (I, punto 8), va osservato quanto segue. Innanzitutto l’insorgente non adduce, e tantomeno documenta, quando e in quale forma egli avrebbe dimissionato dalla carica assunta. Inoltre – a prescindere da quanto rettamente osservato dalla Cassa e meglio che “(…) dapprima si sottolinea come le dimissioni dalla carica formale di amministratore unico, non debbano in alcun modo sottostare né all'approvazione dell'assemblea degli azionisti, né a quella di un singolo azionista di maggioranza per poter porre in essere i relativi effetti. Oltre a ciò si rileva che se la società non notifica al registro di commercio l'uscita dell'amministratore, quest'ultimo, trascorso il termine di 30 giorni, può richiederne direttamente la cancellazione presentando i relativi giustificativi, come previsto dall’art. 25° cpv. 1 dell’ordinanza del registro di commercio (ORC). (…)” (doc. A, punto 9, pag. 12) – , visto che non risulta che mai le richieste di informazioni sono state esaudite e ritenuta la posizione di membro del CdA già dal 14 settembre 2010 rispettivamente di amministratore unico dall’8 agosto 2012 (cfr. consid. 1.1), in ogni caso l’insorgente non avrebbe dovuto attendere sino al mese di novembre 2015 per rassegnare le proprie dimissioni (cfr. l’istromento notarile dell’assemblea generale straordinaria della società del 4 novembre 2015 sub doc. 3/A). Va qui ribadito che, nell’ipotesi in cui un organo societario non sia in grado di sottrarsi all’influsso di terzi, ne dovrà trarre la sola conclusione possibile ossia inoltrare immediatamente le sue dimissioni. Riguardo poi all’asserita posizione di TERZ 1 quale “(…) padre padrone (…)” (doc. I, punto 8), basti qui osservare che nella misura in cui l’insorgente volesse fare valere un’esclusiva gestione della società da parte di terzi (in casu da parte di TERZ 1), va ricordato che, secondo la giurisprudenza federale, l'art. 759 cpv. 1 CO non è applicabile nel presente ambito per giustificare una riduzione del risarcimento in relazione alla gravità dell'errore commesso dai presunti responsabili (in argomento STF 9C_675/2009 del 3 maggio 2010, consid. 6.5 e la giurisprudenza e dottrina ivi citata; STFA 13 novembre 2000 nella causa S, H 238/98, consid. 4b; Pratique VSI 1996 pag. 306). Determinante è che le circostanze addotte dall’insorgente, come visto, non costituiscono motivi sufficienti per esonerarlo dalla sua responsabilità e per escludere quindi l’esistenza di una negligenza grave. In merito, infine, alla sentenza del 5 dicembre 2017 con la quale la Pretura penale di Bellinzona ha prosciolto l’insorgente dall’accusa di appropriazione indebita di trattenute salariali (cfr. doc. 2/A), questo Tribunale può fare proprio quanto addotto dalla Cassa, e meglio che “(…) secondo costante giurisprudenza, nell'ambito di vertenze in materia di assicurazioni sociali e, in particolare, riguardanti l'art. 52 LAVS, le constatazioni e l'apprezzamento del giudice penale, sia per quello che concerne le prescrizioni violate, sia per quanto attiene alla valutazione della colpa commessa, non sono vincolanti (STFA 8 ottobre 2003, H 33/03, consid. 5.6; STFA</w:t>
      </w:r>
    </w:p>
    <w:p>
      <w:r>
        <w:rPr>
          <w:b/>
        </w:rPr>
        <w:t>E. 5</w:t>
      </w:r>
    </w:p>
    <w:p>
      <w:r>
        <w:t>marzo 2005 [ndr. recte: 2003] , H 411/01, consid. 5; STFA 4 febbraio 2002, H 194/01, consid. 2a). Ai fini dell'esito della procedura risarcitoria è determinante accertare se e in che modo l'opponente ha esercitato il proprio obbligo di vigilanza riguardo al pagamento dei contributi paritetici AVS ai sensi della giurisprudenza del Tribunale federale, e se sono eventualmente dati validi motivi di discolpa (STCA 31.2003.13 del 22 settembre 2003). Ne consegue che, ritenuti gli obblighi inalienabili esposti ai punti precedenti, la sentenza citata dall’opponente non può avere valenza liberatoria. Infatti la responsabilità ex art. 52 LAVS imputata al signor RI 1 non è in relazione ad un eventuale appropriazione indebita di trattenute salariali, bensì al mancato pagamento degli oneri sociali fatturati dalla Cassa alla FA 1 durante il suo periodo di carica come organo formale della società. (…)” (doc. A, punto 8, pagg. 11 e 12). Questo Tribunale deve pertanto concludere che l’insorgente – accettando la carica di organo formale, non attivandosi nella sua veste di membro del CdA rispettivamente amministratore unico e aspettando fino al novembre 2015 per dare le dimissioni da tale carica – ha omesso di compiere quanto doveva apparire importante a qualsiasi persona ragionevole nell'ambito delle incombenze riconducibili alla funzione di amministratore unico di una SA. In queste circostanze, non avendo adempiuto agli obblighi che la carica di organo formale le imponeva, RI 1, deve essere ritenuto responsabile ex art. 52 LAVS del danno subìto dalla Cassa. 2.7.   Occorre esaminare se speciali circostanze legittimavano il datore di lavoro, rispettivamente il proprio organo esecutivo, a non versare i contributi o potevano scusarlo dal provvedervi (DTF 121 V 244 consid. 4b, 108 V consid. 1b e 193 consid. 2b).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STFA H 103/00 dell’11 gennaio 2002 consid. 4c e DTF 123 V 244 consid. 4b).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segg. pag. 163 segg.;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In concreto, non sono stati invocati motivi di giustificazione, rispettivamente di discolpa, nel senso della succitata giurisprudenza. Non va in ogni caso dimenticato che la FA 1 non ha, per lungo tempo e ineccepibilmente onorato, dal profilo delle assicurazioni sociali, i propri obblighi di datori di lavoro. Infatti, incontestatamente, risulta che “(…) a seguito dell'entrata in mora della società con il pagamento dei contributi, la Cassa procedeva a diffidare in data 4 novembre 2014 la fattura d'acconto per la mensilità di settembre 2014 e, in relazione alla stessa, ad attivare una procedura esecutiva in data 4 dicembre 2014. Oltre a ciò la Cassa provvedeva a sistematicamente diffidare e precettare le fatture d'acconto mensili a partire da quella riguardante il mese di febbraio 2015. Si rileva inoltre che la FA 1 era già stata oggetto di diffida e precettazione di diverse fatture riguardanti gli anni 2010, 2011 e 2013, per quest'ultimo periodo ad esempio la fattura di conguaglio è stata diffidata in maggio 2014 e precettata il mese seguente (le relative prove sono a disposizione). (...)” (doc. A, punto 6. pagg. 6 e 7; vedi anche i conteggi sub. doc. 8 e 9). Inoltre, in queste circostanze, non risultano dati gli estremi, che l’insorgente, come detto, nemmeno fa valere, per ammettere nella specie che il differimento dei pagamenti fosse riconducibile ad una momentanea crisi finanziaria della società o ad una passeggera situazione di illiquidità (in argomento DTF 123 V 244, 121 V 243; STFA H 134/02 del 30 gennaio 2003, H 297/03 del 4 novembre 2004, H 277/01 del 29 agosto 2002; RCC 1992 pag. 261). 2.8.   Visto tutto quanto precede il ricorso va dunque respinto e la decisione impugnata confermata. 2.9.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