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31.2016.7 vom 27. Oktober 2016</w:t>
      </w:r>
    </w:p>
    <w:p>
      <w:r>
        <w:t>TI Tribunale d'appello, 2016-10-27, IT</w:t>
      </w:r>
    </w:p>
    <w:p>
      <w:r>
        <w:rPr>
          <w:b/>
        </w:rPr>
        <w:t xml:space="preserve">Quelle: </w:t>
      </w:r>
      <w:r>
        <w:t>https://mcp.opencaselaw.ch/entscheid/ti_gerichte_31.2016.7</w:t>
      </w:r>
    </w:p>
    <w:p>
      <w:r>
        <w:t>FR: TI_GERICHTE 31.2016.7 du 27 octobre 2016</w:t>
      </w:r>
    </w:p>
    <w:p>
      <w:r>
        <w:t>IT: TI_GERICHTE 31.2016.7 del 27 ottobre 2016</w:t>
      </w:r>
    </w:p>
    <w:p>
      <w:pPr>
        <w:pStyle w:val="Heading2"/>
      </w:pPr>
      <w:r>
        <w:t>Regeste</w:t>
      </w:r>
    </w:p>
    <w:p>
      <w:r>
        <w:t>Responsabilità ex art. 52 LAVS del socio gerente di una Sagl. I criteri atti a sabilire se un membro del CdA di una SA abbia agito colpevolmente ex art. 52 LAVS valgono anche per il socio gerente di una Sagl. In concreto non dati motivi di discolpa. Rifiutata la domanda di chiamata in causa</w:t>
      </w:r>
    </w:p>
    <w:p>
      <w:pPr>
        <w:pStyle w:val="Heading2"/>
      </w:pPr>
      <w:r>
        <w:t>Erwägungen</w:t>
      </w:r>
    </w:p>
    <w:p>
      <w:r>
        <w:rPr>
          <w:b/>
        </w:rPr>
        <w:t>E. 2</w:t>
      </w:r>
    </w:p>
    <w:p>
      <w:r>
        <w:t>Cost. fed., le parti hanno diritto d'essere sentite. Per costante giurisprudenza (ribadita ancora in STF 9C_412/2011 del 14 luglio 2011 consid. 3.3.2),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370 consid. 3.1 e sentenze ivi citate).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DTF 129 I 232 consid. 3.2 pag. 236). Il diritto di essere sentito è una garanzia costituzionale formale, la cui violazione implica l'annullamento della decisione impugnata, a prescindere dalle possibilità di successo nel merito (DTF 132 V 387 consid. 5.1 pag. 390 e 127 V 437 consid. 3d/aa).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437 consid. 3d/aa).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(STF 935/06 del 21 febbraio 2008 consid. 7.1 con riferimento a DTF 132 V 390 consid. 5.1, 116 V 187 consid. 3d). In concreto, sebbene succinti, i motivi alla base della decisione contestata paiono chiari. La Cassa ha segnatamente emesso la decisione di risarcimento del danno invocando l’art. 52 LAVS, adducendo che il credito in relazione ai contributi paritetici non pagati negli anni 2012 e 2013 dalla FA 1 sarebbe giustificato ai sensi di legge. La Cassa, oltre a motivare il rifiuto di sospendere la procedura fino all’esito del procedimento penale, ha pure preso posizione sulle censure sollevate nell’opposizione. Ha inoltre indicato sommariamente i motivi per cui la richiesta di convocazione dell’opponente non poteva essere accolta, e meglio alla luce delle argomentazioni addotte e ritenuta la documentazione agli atti. La censura di violazione del diritto di essere sentito formulata dal ricorrente appare quindi infondata. Tuttavia a titolo abbondanziale va detto che anche volendo per ipotesi ammettere che la Cassa nella decisione impugnata avrebbe dovuto motivare ulteriormente perché ha rifiutato l’audizione dell’interessato e perché ha respinto la domanda di sospensione della procedura, occorre rilevare che l’interessato ha comunque potuto comprendere la portata della decisione, impugnarla e confrontarsi con il suo contenuto. Per cui, anche volendola ammettere, l’eventuale violazione del diritto di essere sentito sarebbe stata comunque sanata in questa sede, dove egli ha nuovamente esposto e ribadito le sue motivazioni dinanzi ad un’autorità giudiziaria che gode del pieno potere cognitivo (STF 9C_112/2010 del 15 febbraio 2011 consid. 3.2 e 3.3; 9C_961/2009 del 17 gennaio 2011 consid. 2 e la giurisprudenza ivi citata; DTF 133 I 201 consid. 2.2 pag. 204 e riferimenti). 2.2.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nuovo capoverso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Il Tribunale federale delle assicurazioni (TFA, dal 1° gennaio 2007 Tribunale federale,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Nella fattispecie concreta, a seguito dell’apertura della procedura di fallimento della FA 1 (cfr. consid. 1.2), la Cassa ha rettamente chiesto (in via sussidiaria) a RI 1, quale (da ultimo, meglio dal 17 settembre 2012; cfr. doc. 1/B) socio gerente con diritto di firma individuale sino alla dichiarazione di fallimento del 28 marzo 2013, il risarcimento ex art. 52 LAVS per i contributi paritetici non versati dalla società negli anni dal 2012 al 2013 (sino al mese di giugno). Inoltre, la Cassa ha intimato la decisione di risarcimento del 26 febbraio 2016 (doc. 3) entro due anni dallo scritto dell’11 febbraio 2016 con cui l’Ufficio fallimenti del Distretto di __________ le ha comunicato che non erano da prevedersi dividendi per i creditori di II. classe (doc. 1/F), rispettando quindi il termine biennale di prescrizione ai sensi dell’art. 52 cpv. 3 LAVS (in argomento vedi la STCA 31.2012.1 del 21 dicembre 2012 al consid. 2.4).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 369 segg. e in RDAT II 2002 pag. 519 segg.;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Nel caso in esame, oggetto del danno è il mancato versamento dei contributi AVS/AI/IPG/AD e AF per gli anni dal 2012 al 2013, quest’ultimo sino al mese di giugno, così come risultano dagli specchietti relativi all’evoluzione del debito contributivo della FA 1 per gli anni 2012 e 2013, dagli estratti conto dei contributi paritetici per gli stessi anni e dal conteggio dei salari non percepiti ma insinuati all’Ufficio esecuzioni e fallimenti di __________ del 15 aprile 2015 sempre per gli stessi anni (doc. 6, 7, 1/D3-D4 e 1/D5). L’importo del danno fatto valere per complessivi fr. 101'966.35 (cfr. consid. 1.3), a prescindere dal fatto che non è stato in quanto tale contestato, 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Nella fattispecie concreta, il ricorrente – come accennato, socio gerente dal 28 dicembre 2006 sino al 1. giugno 2010, socio dal 1. giugno 2010 al 17 settembre 2012 e successivamente socio gerente dal 17 settembre 2012 (sempre con diritto di firma individuale) sino alla dichiarazione di fallimento del 28 agosto 2013 della FA 1 (cfr. consid. 1.1) – sostiene che nessuna responsabilità possa essergli attribuita (in ogni caso almeno fino a quando non ha assunto nuovamente la gerenza della società) ritenuto che l’unico responsabile degli aspetti amministrativi della FA 1 fosse il __________ e che quando egli ha ripreso la gestione della società nel settembre 2012 (cfr. doc. 1/b) era ormai troppo tardi per evitare il danno mancando le usuali riserve. Quanto asserito non è sufficiente per liberarlo da una responsabilità ex art. 52 LAVS. Va ricordato che, secondo giurisprudenza, 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gerente di una Sagl)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Rettamente, nella decisione contestata, la Cassa ha rilevato che “(…) relativamente alle cause che avrebbero portato al dissesto della società, si rileva che la responsabilità del datore di lavoro giusta l'art. 52 LAVS non è da porre in relazione né alla gestione della società per sé stessa né a eventuali cause di fallimento (STCA 9 giugno 2008, inc. 31.2007.18+20; STCA 14 giugno 1995, inc. 31.1995.12). L'Alta Corte ha avuto modo di precisare che la ditta che attraversa una fase difficile e fonda la sua esistenza su equilibri delicati deve prendere delle misure drastiche e immediate (STFA 23 luglio 2002, H 170/01; STFA 7 maggio 1997, H 336/95; STCA 18 febbraio 2013, inc. 31.2012.5). Nel concreto caso, a seguito dell'entrata in mora della società con il pagamento dei contributi, la Cassa procedeva dal mese di maggio 2012 all'invio di diffide di pagamento e dal mese di gennaio 2013 all'avvio di procedure esecutive che hanno portato all'irrecuperabilità dei contributi. ll fatto che la società abbia costantemente procrastinato e differito il pagamento dei contributi è già di per sé un segno di negligenza grave del datore di lavoro che fa sorgere la responsabilità degli organi, ai quali incombe per legge, come suesposto, la massima vigilanza nella conduzione e nel controllo della società. Come stabilito dalla giurisprudenza federale, nell'ambito dell'accertamento del mancato pagamento dei contributi non riconducibile a una situazione di momentanea illiquidità - ciò che non è il caso nella fattispecie - la sospensione del pagamento dei contributi è inammissibile e costituisce una negligenza grave dell'amministratore (STFA 12 dicembre 2002, H 279/01). (…)” (doc. 1, pag. 6). Ritenuti, da una parte la posizione di organo formale della società quale socio gerente e, dall’altra parte, che l’insorgente (come si dirà meglio in seguito) non ha minimamente provato di essere stato impossibilitato ad eseguire puntualmente i suoi compiti, a mente di questo Tribunale non occorre richiamare l’incarto penale né attendere l’esito del procedimento in corso. Va qui inoltre ricordato che, nell’ipotesi in cui un organo societario non sia in grado di sottrarsi all’influsso di terzi, ne dovrà trarre la sola conclusione possibile ossia inoltrare immediatamente le sue dimissioni (STFA H/268/01 e H/269/01 del 5 giugno 2003) e/o non accettare una carica con relative responsabilità e obblighi. Questo Tribunale rileva che l’insorgente non ha addotto e tantomeno provato di essere stato impedito nell’esercizio della sua carica di socio gerente della FA 1. Nemmeno ha sostenuto (e tantomeno documentato) di essere stato ingannato mediante raggiri di rilevanza penale e che a causa degli stessi non può essergli imputata una negligenza grave (in argomento cfr. la STFA H 152/05 del 7 febbraio 2006). L’insorgente non ha dunque validamente provato che, nonostante l’assunzione della veste di socio gerente con tutti gli oneri che da tale carica derivano, il signor __________ gli ha sottaciuto scientemente e volontariamente l’effettiva situazione della società e/o fornito informazioni errate, ma affidanti, al riguardo della stessa (in argomento cfr. la STCA 31.2006.14 + 17-22 del 5 luglio 2007). In questo senso non bastano le generiche e non documentate affermazioni secondo le quali “(…) tutti gli elementi a disposizione di RI 1 al momento dell'uscita di __________ dalla società, gli permettevano invero di poter ragionevolmente sostenere che il socio si fosse assicurato della situazione finanziaria della società, che tutto corrispondesse ad una logica organizzata e che la necessaria liquidità per far fronte alle spese fosse comunque assicurata. In questo senso __________ aveva più volte fornito rassicurazioni al ricorrente. Questo aspetto è pure risultato evidente nell'ambito del procedimento penale che interessa i due ex soci. __________ ha infatti pure ammesso la propria cattiva gestione per aver, tra l'altro, omesso la postergazione di crediti correntisti, rimborsato un credito correntista ed effettuato altre operazioni che hanno portato al fallimento della società. __________ non è stato in grado di gestire l'effettiva situazione della liquidità della società, ha omesso di effettuare i necessari accantonamenti per consentire, tra l'altro, il pagamento dei contributi paritetici. Quando RI 1 ha ripreso la gerenza della società, nel settembre del 2012, oramai era troppo tardi. Dal rapporto di polizia reso nell’ambito del procedimento penale risulta in modo chiaro che da parte di __________ c'è stata un'evidente omissione della contabilità. Al termine della sua gestione questi non ha lasciato una contabilità per nulla ordinata, in crassa violazione con il principio che vuole che i conti vengano presentati in modo completo, chiaro, comprensivo e fedele. Addirittura, sono emersi nell'ambito dell'inchiesta più di un unico bilancio per un medesimo anno contabile, durante la gestione __________. (…)” (I, pag. 2 e 3). Va qui ribadito che l’insorgente, nella misura in cui (come da lui asserito) la contabilità non fosse stata chiara e la gestione da parte del __________ lacunosa, avrebbe potuto/dovuto rassegnare immediatamente le sue dimissioni e/o non accettare la carica di socio gerente (oltretutto in una società che già conosceva viste le cariche già in precedenza assunte; cfr. consid. 1.1) con relative responsabilità e obblighi.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Di conseguenza – atteso che è preciso dovere dell'interessato indicare con esattezza la documentazione di cui vuole avvalersi,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le STFA H 5/02 del 31 gennaio 2003, consid. 4.3; H 10 + 45/01 del 16 settembre 2002, consid. 4.3.2; H 170/01 del 23 luglio 2002, consid. 3.3; H 444/00 del 25 giugno 2002 consid. 4d e H 153/01 del 5 novembre 2001, consid. 4c.) – , la domanda formulata dall’insorgente di “(…) convocazione di un dibattimento ai sensi dell’art. 17 Lptca (…)” (I, pag. 8), va respinta. Sono infatti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Quanto all’assunto secondo il quale l’insorgente non potrebbe essere chiamato a rispondere dei contributi scaduti e non versati prima del mese di settembre 2012 allorquando ha ripreso la carica di socio gerente della società, va osservato quanto segue. Il nuovo amministratore (rispettivamente gerente o socio gerente) risponde non soltanto dei contributi sociali correnti, ma pure del debito scaduto nel corso del periodo precedente alla sua entrata in funzione. Infatti, secondo giurisprudenza, il nuovo amministratore (rispettivamente gerente o socio gerente)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Nessuna responsabilità del nuovo amministratore (rispettivamente gerente o socio gerente)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Nel caso in esame dagli atti non emerge, né del resto è stato sostenuto, che al momento della nuova entrata in carica quale socio gerente della FA 1, la società si trovasse già in uno stato d’insolvenza tale da rendere impossibile il pagamento dei contributi già scaduti, motivo per cui l’insorgente deve rispondere anche per gli oneri sociali dovuti prima del 17 settembre 2012. In effetti, come rilevato dalla Cassa e rimasto incontestato, “(…) nell’evenienza concreta, sino alla revoca del mandato di gerente del signor __________ decisa dall’assemblea straordinaria tenutasi il 17 settembre 2012 (cfr. doc. B), la società ha regolato il pagamento dei contributi AVS. Per contro si evidenzia che dalla successiva nomina di gerente dell’opponente in data 17 settembre 2012 (cfr. doc. B) sino al fallimento, la società non ha effettuato alcun versamento di contributi paritetici AVS. (…)” (doc. 1, pag. 6 e 7). Il ricorrente non ha dunque nemmeno reso verosimile che al momento della nuova entrata in carica quale socio gerente, la FA 1 fosse insolvente o indebitata a tal punto da dover considerare irrecuperabili i contributi dovuti prima dell’inizio del suo mandato (settembre 2012). Va qui ribadito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Conformemente alla succitata giurisprudenza l’insorgente deve pertanto rispondere, indipendentemente dalla questione a sapere se abbia o meno contribuito a tale posta di danno, anche per gli oneri sociali dovuti prima del suo rientro quale socio gerente della società (cfr. in questo senso la STCA 31.2014.7 del 22 dicembre 2014). Riguardo infine all’affermazione secondo cui “(…) in altre parole la “mente”, ideatore e gestore di tutte le operazioni immobiliari che hanno interessato la FA 1 era __________, mentre RI 1 solo il “braccio”, che si occupava dei cantieri dal punto di vista tecnico. Era __________ a gestire la contabilità, era lui che aveva il compito di garantire la necessaria liquidità. (…)” (I, pag. 2),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Questo Tribunale deve pertanto concludere che l’insorgente ha omesso di compiere quanto doveva apparire importante a qualsiasi persona ragionevole nell'ambito delle incombenze riconducibili alla funzione di socio gerente di una Sagl. In queste circostanze, non avendo adempiuto agli obblighi che la carica di socio gerente gli imponeva, RI 1, deve essere ritenuto responsabile ex art. 52 LAVS del danno subìto dalla Cassa. 2.8.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non sono stati invocati motivi di giustificazione, rispettivamente di discolpa, nel senso della succitata giurisprudenza. Non va in ogni caso dimenticato che la FA 1, nonostante le diffide e i precetti esecutivi, ha pagato l’ultimo importo di fr. 18'608.90 per i contributi dovuti per il II trimestre del 2012 il 21 agosto 2012 (cfr. gli specchietti dell’evoluzione del debito contributivo fatto valere sub doc. 6 e 7). In queste circostanze non risultano dati gli estremi, che l’insorgente, come detto, nemmeno fa valere,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In conclusione, non essendo ravvisabile alcun valido motivo di giustificazione, rispettivamente di discolpa, RI 1 deve risarcire alla Cassa la somma di fr. 101'966.35 per oneri sociali non versati dalla FA 1 negli anni 2012 e 2013, quest’ultimo sino al mese di giugno. 2.9.   L’insorgente, come accennato (cfr. consid. 1.4), ha fatto valere che la Cassa avrebbe dovuto sospendere la procedura di risarcimento sino alla conclusione della procedura penale. Va qui innanzitutto rilevato che per costante giurisprudenza, nell’ambito di vertenze in materia di assicurazioni sociali, il giudice delle assicurazioni sociali non è vincolato dalle constatazioni e dall'apprezzamento del giudice penale, né per quel che concerne la determinazione delle prescrizioni violate, né per quel che attiene la valutazione della colpa commessa (cfr., tra le altre, le STFA H 33/03 dell’8 ottobre 2003, consid. 5.6; H 411/01 del 5 marzo 2003, consid. 5 e H 194/01 del</w:t>
      </w:r>
    </w:p>
    <w:p>
      <w:r>
        <w:rPr>
          <w:b/>
        </w:rPr>
        <w:t>E. 4</w:t>
      </w:r>
    </w:p>
    <w:p>
      <w:r>
        <w:t>febbraio 2002, consid. 2a). Inoltre – ricordato che, come accennato (cfr. consid. 2.7), l’insorgente non ha addotto e tantomeno provato di essere stato impedito nell’esercizio della sua carica di socio gerente e in particolare che terzi gli avrebbero sottaciuto scientemente e volontariamente l’effettiva situazione della società e/o fornito informazioni errate, ma affidanti, al riguardo della stessa – questo Tribunale può fare proprio quanto addotto dalla Cassa nella risposta e meglio che “(…) a nulla giova quindi il richiamo al procedimento penale in corso e a presunti impedimenti legati all'omissione della contabilità. Tali censure, peraltro nemmeno comprovate e di per sé già inammissibili, non liberano l'insorgente dalla responsabilità ex art. 52 LAVS, ritenuto che l'asserita omissione della contabilità e l'apertura di un procedimento penale non gli impedivano e non lo esimevano visto il ruolo rivestito dall'obbligo di informarsi presso la Cassa sull'esposizione debitoria della società. Del resto la grave situazione debitoria è sorta, come detto, dopo l'assunzione della carica di gerente del signor FA 1. (…)” (III, pag. 5). Del resto, nemmeno dagli atti risulta e tantomeno l’insorgente ha fatto valere che, in un lasso di tempo relativo ai contributi che dovevano essere versati, nell’ambito della procedura penale siano stati sequestrati degli averi di pertinenza della società (in argomento cfr. la STF H 386/00 del 28 giugno 2002 che rinvia alla DTF 108 V 183 confermata in DTF 121 V 244). In questo senso anche la censura secondo la quale la Cassa avrebbe dovuto sospendere la procedura di risarcimento sino alla conclusione di quella penale va respinta. 2.10.   Riguardo, infine, alla domanda di chiamare in causa __________ (cfr. consid. 1.4), va rilevato quanto segue. Con la chiamata in causa,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(STFA H 72/06 del 16 ottobre 2006, consid. 2.2 con riferimenti; Kölz/Häner, op. cit, pag. pag. 191 seg. n. 528). In particolare, il chiamato in causa ha il diritto di esprimersi sugli atti giudiziari senza disporre di ulteriori diritti di parte. Può formulare osservazioni ma limitatamente all’oggetto di causa definito dal ricorrente e con il giudizio non può essere obbligato materialmente a qualche cosa rispettivamente niente può essergli attribuito ( “(…) Dem Beigeladenen ist – analog den Prozesspartei – das Recht zu gewähren, sich zumindest zu den Rechtsschriften äussern zu können, ohne jedoch über weitergehende Parteirechte zu verfügen; er kann eigene Anträge stellen, ist aber an den Streitgegenstand gebunden, der vom Beschwerdeführer festgelegt wird. Schliesslich kann der Beigeladene in materieller Hinsicht im Urteil zu nichts verpflichtet und es kann ihm nichts zugesprochen werden. (…)” (cfr. Reichmuth, op. cit., n. 1098 pag. 260-261) ) . Appurato, da una parte, che la Cassa ha proceduto unicamente nei confronti di RI 1 (cfr. consid. 1.5) e considerato, dall’altra parte, lo scopo e le finalità suenunciate della chiamata in causa, questo Tribunale non ritiene di dover dare seguito alla postulata chiamata in causa di __________. In ogni caso, anche se la succitata richiesta fosse da trattare alla stregua di una domanda volta a sentire __________ quale teste, il TCA ribadisce che gli atti di causa sono sufficienti per potersi pronunciare in merito alla vertenza senza dover intraprendere ulteriori atti istruttori. Va ribadito che possono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In questo senso questo la domanda di chiamare in causa __________ deve essere respinta. 2.11.   L’insorgente ha chiesto di essere messo al beneficio dell’assistenza giudiziaria con il gratuito patrocinio (doc. I).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3a edizione, 2015, ad art. 61, n. 173-193, pagg. 828-832). L'art. 28 cpv. 2 Lptca stabilisce che la disciplina della difesa d'ufficio e del gratuito patrocinio è retta della Legge sull’assistenza giudiziaria e sul patrocinio d’ufficio (LAG), nel tenore in vigore dal 1° gennaio 2011. Secondo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e 372 consid 5b e riferimenti).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consid. 7c, pag. 48). All’importo base LEF va applicato un supplemento variante fra il 15% e il 25% (STFA U 102/04 del 20 settembre 2004 consid. 4.1.2). L’indigenza processuale è data ove il richiedente non disponga di più mezzi di quelli necessari per il mantenimento normale e modesto della famiglia (RAMI 1996 N. U 254 pag. 209 consid. 2). Il requisito della probabilità di esito favorevole difetta quando le possibilità di vincere la causa sono così esigue che una persona di condizione agiata, dopo ragionevole riflessione, rinuncerebbe al processo in considerazione delle spese cui si esporrebbe (STFA U 220/99 del 26 settembre 2000; RAMI 1994 pag. 78; DTF 125 II 275 consid. 4b e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e 124 I 304 consid. 2c). Inoltre, quando le prospettive di successo e i rischi di perdere il processo si eguagliano o le prime sono soltanto leggermente inferiori rispetto ai secondi, le domande non possono essere considerate senza esito favorevole (DTF 125 II 275, 124 I 304 consid. 2c e 122 I 267 consid. 2b). Nel caso concreto, visti i chiari principi che risultano dalla giurisprudenza pubblicata sia nella Raccolta Ufficiale che nel sito web della Confederazione, rispettivamente in quello del Cantone Ticino, al patrocinatrice del ricorrente doveva apparire evidente che il rischio di perdere il processo era palesemente maggiore rispetto alle prospettive di un successo, ragione per la quale il requisito della probabilità di esito favorevole va giudicato inadempiuto (in argomento cfr. la STCA 32.2015.160 del 5 ottobre 2016, consid. 2.13). In effetti, vista la posizione di organo formale (socio gerente di una Sagl), l’insorgente poteva/doveva essere a conoscenza delle responsabilità e dei compiti che da tale carica derivano. Inoltre, patrocinato in causa, nemmeno poteva sfuggire al ricorrente l’obbligo di provare e debitamente documentare di essere stato impedito nell’esercizio della sua carica di socio gerente. In queste condizioni la domanda di assistenza giudiziaria deve essere respinta. 2.12.   Visto tutto quanto precede il ricorso va dunque respinto e la decisione su opposizione impugnata confermata. 2.13.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