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31.2016.16 vom 27. April 2017</w:t>
      </w:r>
    </w:p>
    <w:p>
      <w:r>
        <w:t>TI Tribunale d'appello, 2017-04-27, IT</w:t>
      </w:r>
    </w:p>
    <w:p>
      <w:r>
        <w:rPr>
          <w:b/>
        </w:rPr>
        <w:t xml:space="preserve">Quelle: </w:t>
      </w:r>
      <w:r>
        <w:t>https://mcp.opencaselaw.ch/entscheid/ti_gerichte_31.2016.16</w:t>
      </w:r>
    </w:p>
    <w:p>
      <w:r>
        <w:t>FR: TI_GERICHTE 31.2016.16 du 27 avril 2017</w:t>
      </w:r>
    </w:p>
    <w:p>
      <w:r>
        <w:t>IT: TI_GERICHTE 31.2016.16 del 27 aprile 2017</w:t>
      </w:r>
    </w:p>
    <w:p>
      <w:pPr>
        <w:pStyle w:val="Heading2"/>
      </w:pPr>
      <w:r>
        <w:t>Erwägungen</w:t>
      </w:r>
    </w:p>
    <w:p>
      <w:r>
        <w:rPr>
          <w:b/>
        </w:rPr>
        <w:t>E. 5</w:t>
      </w:r>
    </w:p>
    <w:p>
      <w:r>
        <w:t>ottobre 2000; cfr. anche STCA 31.2003.18 del 28 gennaio 2004, consid. 2.10.2 e ivi riferimenti) o che non benefici di alcun diritto di firma (STFA 17 ottobre 1996 nella causa M.G.) non costituiscono in sé motivi liberatori. Nella STFA H 13/03 del 21 maggio 2003 lAlta Corte ha ribadito che un amministratore non può liberarsi dalla propria responsabilità sostenendo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w:t>
      </w:r>
    </w:p>
    <w:p>
      <w:r>
        <w:t>Non soccorre quindi allinsorgente lasserita circostanza che fossero altre persone ad occuparsi della gestione dellazienda e quindi anche delle questioni contributive. Del resto, il fatto che altre persone abbiano esercitato il potere effettivo nell'ambito della società quali organi di fattocome potrebbe essere il caso per i duesocimenzionati dal ricorrente  non scarica l'amministratore formale dalle sue responsabilità (STFA H 195/92 del 30 marzo 1993 e STCA 31.94.4 del 7 agosto 1996, consid. 2.9).</w:t>
      </w:r>
    </w:p>
    <w:p>
      <w:r>
        <w:t>In ogni caso, nella misura in cui il ricorrente volesse fare valere unesclusiva gestione della società da parte di terzi (in casu da parte di __________ e __________), va ricordato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w:t>
      </w:r>
    </w:p>
    <w:p>
      <w:r>
        <w:t>Gli amministratori devono rassegnare tempestivamente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Nellipotesi in cui un organo societario non sia in grado di sottrarsi allinflusso di terzi, ne dovrà trarre la sola conclusione possibile ossia, come accennato, inoltrare immediatamente le sue dimissioni (STFA H/268/01 e H/269/01 del 5 giugno 2003).</w:t>
      </w:r>
    </w:p>
    <w:p>
      <w:r>
        <w:t>Nel caso in esame  a prescindere dal fatto cheè rimasta allo stadio di puro parlato (e priva quindi qualsivoglia supporto probatorio)laffermazione secondo cui __________ si è costantemente preoccupato dellandamento dellazienda sia chiedendo le relative informazioni agli asseriti responsabili della gestione sia ponendo in essereogni azione per la richiesta di somme a titolo di pagamento dellAVS __________, non disponendo, come asserito, delle informazioni riguardanti la situazione economica e contributiva non avrebbe dovuto attendere il mese di novembre 2015 per rassegnare le proprie dimissioni, quando si consideri che egli è entrato in carica quale gerente nellagosto 2012 e che lo scoperto contributivo che qui interessa concerne lanno 2013 (insoluto risulta il conteggio di chiusura del 2013, diffidato nellaprile 2014 e precettato nel maggio 2014 mentre che i precedenti acconti sono stai pagati, ad esclusione dellaccon-to gennaio-marzo, solo dopo diffida; per un caso diverso in cui questo Tribunale ha ritenuto lieve la negligenza in quanto, accortasi dellimpossibilità di controllare la gestione, lammini-stratrice unica ha rassegnato le proprie dimissioni tre mesi dopo lassunzione della carica si veda la STCA 31.1998.38-40 del 15 marzo 2000; per degli altri casi in cui questo Tribunale ha ritenuto tardive le dimissioni inoltrate da unammini-stratrice unica di una SA e da un socio gerente di una Sagl vedi le STCA 31.2015.5 del 2 novembre 2015 e 31.2008.8 del 17 dicembre 2008).Inoltre, nel caso in cui non avesse effettivamente ottenuto risposta alle asserite sue richieste di informazioni, il ricorrente avrebbe potuto, per quel che concerne la posizione contributiva della società, chiedere informazioni direttamente alla Cassaed in seguito intervenire affinché gli oneri sociali venissero pagati.</w:t>
      </w:r>
    </w:p>
    <w:p>
      <w:r>
        <w:t>2.9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digiustificazione,che si realizzano allorquando vi è omissione del pagamento  per fare fronte a una mancanza passeggera di liquidità in una delicata situazione finanziaria e nella misura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Reichmuth,Die Haftung des Arbeitgebers und seiner Organe nach art. 52 AHVG, 2008,n. 668s pp. 156ss; vedi anche Meyer, Die Rechtsprechung des Eidgenössischen Versicherungsgerichts zur Arbeitgeberhaftung; in: Temi scelti di diritto delle assicurazioni sociali, 2006, pp. 25ss e 35s; cfr. anche STFA H 103/00 dell11 gennaio 2002 consid. 4c eDTF 123 V 244 consid. 4b). Daltro lato possono essere datimotivi di discolpa non ravvisabili nel caso concreto 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w:t>
      </w:r>
    </w:p>
    <w:p>
      <w:r>
        <w:t>2.10Linsorgente ha chiesto di essere interrogato (cfr. supra con-sid. 1.3).</w:t>
      </w:r>
    </w:p>
    <w:p>
      <w:r>
        <w:t>Nel caso in esame, la documentazione agli atti è sufficiente per statuire nel merito della presente vertenza per cui non si rende necessario procedere allaudizione del ricorrente volta a comprovare e dettagliare quanto asserito nel ricorso, i cui motivi, come visto, non sono sufficienti per esimerlo da una responsabilità ex art. 52 LAVS. Il ricorrente ha potuto ampiamente esprimersi dinanzi a questo Tribunale ed una sua audizione non modificherebbe lesito del ricorso. Inoltre, laudi-zione richiesta può essere rifiutata senza per questo ledere il diritto di essere sentito sancito dall'art. 29 cpv. 2 Cost. fed. e dall'art. 6 n. 1 CEDU.Infatti, secondo la giurisprudenza federale, lobbligo di organizzare un dibattimento pubblico ai sensi dellart. 6 n. 1 CEDU presuppone una richiesta chiara e inequivocabile; semplici domande di assunzione di prove, come ad esempio istanze di audizione personale o di interrogatorio di parti o di testimoni, oppure richieste di sopralluogo, non bastano per creare un simile obbligo (STF 9C_660/2015 del 24 marzo 2016; STF I 472/06 del 21 agosto 2007, consid. 2 che ha confermato questo principio; DTF 122 V 47; cfr. pure DTF 124 V 90, consid. 6).</w:t>
      </w:r>
    </w:p>
    <w:p>
      <w:r>
        <w:t>2.11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fondamentalepresupposto questo che, secondo lart. 85 cpv. 2 LTF, renderebbe ammissibile il ricorso in materia di diritto pubblico anche se il valore litigioso non raggiunge i fr. 30'000.--deve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