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31.2015.5 vom 2. November 2015</w:t>
      </w:r>
    </w:p>
    <w:p>
      <w:r>
        <w:t>TI Tribunale d'appello, 2015-11-02, IT</w:t>
      </w:r>
    </w:p>
    <w:p>
      <w:r>
        <w:rPr>
          <w:b/>
        </w:rPr>
        <w:t xml:space="preserve">Quelle: </w:t>
      </w:r>
      <w:r>
        <w:t>https://mcp.opencaselaw.ch/entscheid/ti_gerichte_31.2015.5</w:t>
      </w:r>
    </w:p>
    <w:p>
      <w:r>
        <w:t>FR: TI_GERICHTE 31.2015.5 du 2 novembre 2015</w:t>
      </w:r>
    </w:p>
    <w:p>
      <w:r>
        <w:t>IT: TI_GERICHTE 31.2015.5 del 2 novembre 2015</w:t>
      </w:r>
    </w:p>
    <w:p>
      <w:pPr>
        <w:pStyle w:val="Heading2"/>
      </w:pPr>
      <w:r>
        <w:t>Regeste</w:t>
      </w:r>
    </w:p>
    <w:p>
      <w:r>
        <w:t>Responsabilità ex art. 52 LAVS dell'amministratrice unica di una SA. Responsabilità per oneri sociali non versati fino a quando é stata iscritta a RC in quella funzione.In concreto non sussistono validi motivi che giustifichino il mancato pagamento dei contributi</w:t>
      </w:r>
    </w:p>
    <w:p>
      <w:pPr>
        <w:pStyle w:val="Heading2"/>
      </w:pPr>
      <w:r>
        <w:t>Erwägungen</w:t>
      </w:r>
    </w:p>
    <w:p>
      <w:r>
        <w:rPr>
          <w:b/>
        </w:rPr>
        <w:t>E. 1</w:t>
      </w:r>
    </w:p>
    <w:p>
      <w:r>
        <w:t>LAVS, artt. 34ss OAVS; RCC 1985 pag. 607 consid. 5a). 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 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 2.4.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di far valere e provare validi motivi di giustificazione e di discolpa, idonei cioè ad escludere una violazione intenzionale o per negligenza grave delle prescrizioni, rispettivamente idonei a giustificarla in base a circostanze speciali (DTF 108 V 187; SVR 1995 AHV Nr. 70 pag. 213). È quindi possibile che, procrastinando il pagamento dei contributi, il datore di lavoro riesca a salvaguardare l’esistenza della ditta, ad esempio nell’ipotesi di difficoltà passeggere di liquidità. Affinché un simile comportamento non comporti l’applicazione dell’art. 52 LAVS, occorre che il datore di lavoro, nell’istante in cui decide, abbia seri e oggettivi motivi di ritenere che gli sarà possibile solvere i contributi entro un termine ragionevole (DTF 108 V 188; Pratique VSI 1996 pag. 307; RCC 1992 pag. 261 consid. 4b, 1985 pag. 604 consid. 3a). L’obbligo del datore di lavoro e dei suoi organi responsabili di risarcire il danno alla Cassa sarà negato, e di conseguenza decadrà, se questi reca e prova motivi di giustificazione, rispettivamente di discolpa (DTF 108 V 187 consid. 1b; Frésard, op. cit., RSA 1987 pag. 7). 2.5.   Ai sensi della giurisprudenza del TFA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La giurisprudenza ritiene che, di regola, la mancata deduzione e relativo trasferimento alla Cassa dei contributi configura una grave negligenza (DTF 108 V 186 segg. consid. 1b). 2.6.   L’insorgente – dopo aver osservato che “(…) come ho avuto modo di indicare nell’opposizione del 24 novembre 2014, si ribadisce che fintanto che ho avuto accesso alla liquidità della società ho debitamente pagato gli oneri sociali. Come ho ricordato e ribadito fermamente ho debitamente avvisato l’azionista unico che il suo interagire, nell’incassare a contanti le fatture dei clienti e gestendo direttamente la liquidità della società, mi impediva di espletare le mie mansioni nonché le responsabilità nei confronti degli istituti oneri sociali. Intimare un avviso via raccomandata al signor TERZ</w:t>
      </w:r>
    </w:p>
    <w:p>
      <w:r>
        <w:rPr>
          <w:b/>
        </w:rPr>
        <w:t>E. 2</w:t>
      </w:r>
    </w:p>
    <w:p>
      <w:r>
        <w:t>sono stati il minimo operativo per capire se l’azionista mi permetteva l’espletare delle mie funzioni. (…)” (I). Accettando il mandato di amministratrice unica l’insorgente ha assunto tutti gli oneri che da tale funzione derivano e rilevato che, vista la carica assunta (amministratrice unica), la prassi in materia prescrive agli organi degli obblighi di diligenza e di controllo accresciuti (STF 10/07 del 7 marzo 2008 consid. 6.3). Giova qui inoltre ricordare che un amministratore diligente non può estraniarsi dai problemi della società evidenziando che altri si occupavano della gestione (RCC 1989 pag. 114 seg.; STFA 17 ottobre 1996 nella causa M.G.; STCA 31.1997.13-14 del 30 settembre 1998). Addirittura è da ritenere una negligenza grave anche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28 gennaio 2004 nella causa A.F., inc. 31.2003.18, consid. 2.10.2 e ivi riferimenti) o che non benefici di alcun diritto di firma (STFA 17 ottobre 1996 nella causa M.G.) non costituiscono in sé motivi liberatori o di discolpa. Nella STFA H 13/03 del 21 maggio 2003 l’Alta Corte ha ribadito che un amministratore non può liberarsi dalla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l'amministratore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La passività dimostrata dall’insorgente è quindi in relazione di causalità naturale e adeguata con il danno subìto dalla Cassa (STFA H 13/03 del 21 maggio 2003, H 65/01 del 13 maggio 2002 e H 38/01 del 17 gennaio 2002). Quanto infine all’asserita esclusiva responsabilità di terzi, va ricordato che, secondo la giurisprudenza federale, l'art. 759 cpv. 1 CO non è applicabile nel presente ambito per giustificare una riduzione del risarcimento in relazione alla gravità dell'errore commesso dai presunti responsabili (STF 9C_675/2009 del 3 maggio 2010, consid. 6.5 e la giurisprudenza e dottrina ivi ciata; STFA 13 novembre 2000 nella causa S, H 238/98, consid. 4b; Pratique VSI 1996 pag. 306). Determinante è che le circostanze addotte dall’insorgente, come visto, non costituiscono motivi sufficienti per esonerarlo dalla sua responsabilità e per escludere quindi l’esistenza di una negligenza grave. In simili circostanze questo Tribunale deve concludere che non avendo adempiuto agli obblighi che la carica di amministratrice unica le imponeva, RI 1 deve essere ritenuta responsabile ex art. 52 LAVS del danno subìto dalla Cassa. 2.7.   Visto tutto quanto precede il ricorso va dunque respinto e la decisione impugnata confermata. 2.8.   Il TF, nella DTF 137 V 51, chiamato a pronunciarsi in merito all’ammissibilità del ricorso in materia di diritto pubblico in un caso concernente la responsabilità del datore di lavoro per il danno risultante dalla violazione delle prescrizioni in materia di AVS, ha stabilito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Margit Moser-Szless, Le recours en matière de droit pubblic au Tribunal fédéral dans le domaine des assurances sociales – aspects choisis, in HAVE 2010 pag. 342; Mélanie Fretz, La responsabilité selon l’art. 52 LAVS: une comparaison avec les art. 78 LPGA e 52 LPP, in HAVE 2009 pag. 249; cfr. inoltre anche DTF 135 V 98 nella quale il TF si è pronunciato circa l’ammissibilità del ricorso in un caso concernente la responsabilità del titolare di una cassa di disoccupazione nei confronti della Confederazione per il danno derivante dal pagamento di prestazioni indebite e DTF 134 V 138 nella quale l’Alta Corte si è pronunciata circa l’ammissibilità di un ricorso in tema di responsabilità dell’Ufficio AI per i danni cagionati a un terzo evidenziando, in particolare, che l’eventuale presupposto della “questione di diritto di importanza fondamentale”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