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31.2012.1 vom 21. Dezember 2012</w:t>
      </w:r>
    </w:p>
    <w:p>
      <w:r>
        <w:t>TI Tribunale d'appello, 2012-12-21, IT</w:t>
      </w:r>
    </w:p>
    <w:p>
      <w:r>
        <w:rPr>
          <w:b/>
        </w:rPr>
        <w:t xml:space="preserve">Quelle: </w:t>
      </w:r>
      <w:r>
        <w:t>https://mcp.opencaselaw.ch/entscheid/ti_gerichte_31.2012.1</w:t>
      </w:r>
    </w:p>
    <w:p>
      <w:r>
        <w:t>FR: TI_GERICHTE 31.2012.1 du 21 décembre 2012</w:t>
      </w:r>
    </w:p>
    <w:p>
      <w:r>
        <w:t>IT: TI_GERICHTE 31.2012.1 del 21 dicembre 2012</w:t>
      </w:r>
    </w:p>
    <w:p>
      <w:pPr>
        <w:pStyle w:val="Heading2"/>
      </w:pPr>
      <w:r>
        <w:t>Regeste</w:t>
      </w:r>
    </w:p>
    <w:p>
      <w:r>
        <w:t>Responsabilità del datore di lavoro ex art. 52 LAVS. Respinta l'eccezione di prescrizione del credito risarcitorio. Conferma della responsabilità di un amministratore unico di una SA non avendo egli adempiuto agli obblighi di vigilanza in merito al pagamento degli oneri sociali</w:t>
      </w:r>
    </w:p>
    <w:p>
      <w:pPr>
        <w:pStyle w:val="Heading2"/>
      </w:pPr>
      <w:r>
        <w:t>Erwägungen</w:t>
      </w:r>
    </w:p>
    <w:p>
      <w:r>
        <w:rPr>
          <w:b/>
        </w:rPr>
        <w:t>E. 11</w:t>
      </w:r>
    </w:p>
    <w:p>
      <w:r>
        <w:t>= Pratique VSI 2003 pp. 79 segg.). Nella fattispecie, a seguito dell’apertura della procedura di fallimento della __________(cfr. consid. 1.2), la Cassa ha rettamente chiesto, in via sussidiaria, all’insorgente, organo formale della stessa, il risarcimento ex art. 52 LAVS per i contributi paritetici non versati dalla società. 2.3.   Il ricorrente rimprovera alla Cassa di aver ingiustificatamente atteso quasi 4 mesi e mezzo per emettere la qui impugnata decisione, resa il 16 febbraio 2012 a seguito dell’opposizione datata 3 ottobre 2011 avverso la decisione di risarcimento 30 agosto 2011. A mente dell’insorgente, la querelata pronunzia non è stata emanata entro un termine adeguato ai sensi dell’art. 52 cpv. 2 LPGA - che secondo lui dovrebbe essere, in analogia all’art. 81 cpv. 3 vOAVS, di 30 giorni – e di conseguenza il diritto di chiedere il risarcimento sarebbe “perento”. Al riguardo, rettamente nella risposta di causa la Cassa ha fatto presente che la succitata censura è stata già sollevata dallo stesso legale del ricorrente ed esaminata dallo scrivente Tribunale nelle STCA 31.2008.12 del 7 settembre 2009 consid. 2.1 e STCA 31.2006.44 del 18 settembre 2007 consid. 2.6. Va pertanto ricordato che in caso di presunto ritardo ingiustificato da parte della Cassa nell’evasione dell'opposizione, l’insorgente avrebbe dovuto innanzitutto sollecitare l'amministrazione e, in caso di mancata risposta, adire il TCA ai sensi dell’art. 56 cpv. 2 LPGA. La censura di ritardata giustizia si rileva pertanto intempestiva e priva di oggetto, avendo l’amministrazione rilasciato la decisione su opposizione contestata. Non va altresì dimenticato che, in caso di accoglimento di un ricorso per ritardata o denegata giustizia, il Tribunale ordina all’assicuratore sociale di concludere entro un termine ragionevole la procedura, rispettivamente di dar seguito alla chiesta misura (Kieser, Das Verwaltungsverfahren in der Sozialversicherung, Zurigo 1999, nota 507 p. 240; idem, cit., ad art. 56 nota 21, p. 708 ) e quindi non annulla la decisione su opposizione nel frattempo resa, né, come temerariamente sostenuto dall’insorgente, un eventuale accertamento dell’invocato diniego ha per effetto la “perenzione” della pretesa risarcitoria. Occorre poi ricordare che, come verrà di seguito esposto, secondo l’art. 52 cpv. 3 LAVS il diritto al risarcimento si prescrive in due anni dalla conoscenza del danno. Entro tale termine la cassa di compensazione deve emanare una decisione di risarcimento, contro la quale il destinatario può in seguito inoltrare opposizione nel termine di 30 giorni. 2.4.   L’insorgente ritiene perento” (recte: prescritto, come previsto dall’art. 52 cpv. 3 LAVS) il credito risarcitorio anche avuto riguardo al fatto che, a seguito delle diverse procedure di diffida e d’incasso forzato (di cui egli ha chiesto la prova), la Cassa sarebbe venuta o avrebbe dovuto venire a conoscenza del danno in quanto la situazione oggettiva della società era tale che non vi era più da attendersi il pagamento integrale dei contributi. Certo che, come si evince dallo citato specchietto relativo all’evoluzione dei pagamenti degli oneri sociali (cfr. consid. 1.2) e dalla documentazione richiamata dal TCA (cfr. consid. 1.8), s in dall’emissione dell’acconto del III trimestre 2009 la società è entrata in mora con il pagamento dei contributi paritetici, motivo per cui la Cassa ha dovuto diffidarla dal novembre 2009 e precettarla dal giugno 2010, ma tali difficoltà d’incasso non costituiscono, come già esposto nelle STCA citate al considerando precedente, la conoscenza del danno. S econdo la giurisprudenza sviluppata in merito all’art. 82 cpv. 1 v.OAVS, applicabile al nuovo art. 52 cpv. 3 LAVS (in vigore dal 1. gennaio 2003),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Nell’ambito di un fallimento del datore di lavoro detto giorno è quello dell’apertura del fallimento stesso, poiché è da questo momento che gli oneri sociali scoperti non possono più essere recuperati seguendo la procedura ordinaria (DTF 123 V 15 e 170 , 121 III 384 e 388), ciò che è avvenuto nel caso concreto con l’apertura del fallimento pubblicato nel FUSC del 10 gennaio 2011. In merito al credito risarcitorio, l’art. 52 cpv. 3 LAVS prescrive che il risarcimento del danno si prescrive in due anni dal momento in cui la cassa competente ha avuto notizia del danno, ma in ogni caso in cinque anni dall’insorgere del danno. Il termine di cui all’art. 52 cpv. 3 LAVS, diversamente da quello previsto dall’art. 82 cpv. 1 v.OAVS (in vigore sino al 31 dicembre 2002), è un termine di prescrizione e non di perenzione (SVR 2005 AHV n. 15; STFA H 136/05 del 23 novembre 2006). De cisiva per la decorrenza del termine di perenzione  non è la data d’insorgenza del danno, ma quella in cui la cassa di compensazione ne viene effettivamente a conoscenza (Nussbaumer, Das Schadenersatzverfahren nach art. 52 AHVG, in: Aktuelle Fragen aus dem Beistragsrecht der AHV, Veröffentlichungen des Schweizerischen Instituts für Verwaltungskurse an der Universität St. Gallen, volume 44, 1998, p. 109). In caso di fallimento la cassa conosce sufficientemente il suo pregiudizio, in via di massima , quando è informata del suo collocamento nella liquidazione. La cassa ha, di regola, conoscenza del danno subito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 504; riguardo al riconoscimento del danno al momento della prima assemblea dei creditori, Pratique VSI 1996 p. 167 = DTF 121 V 240). Infine, il momento della conoscenza del danno può avvenire precedentemente al fallimento, ossia in caso di rilascio di un attestato di carenza beni durante un’esecuzione in via di pignoramento (DTF 113 V 256 con riferimenti), oppure, a determinate condizioni, durante una moratoria concordataria (DTF 121 V 241 consid. 3c/bb in fine, AHI Praxis 1995 p.164, consid. 4d). Nella fattispecie in esame, n on sono quindi le difficoltà d’in- casso dei contributi da parte della Cassa, rispettivamente il loro mancato versamento a determinare la conoscenza del danno. Tantomeno l’apertura del fallimento in via sommaria, visto che la stessa non coincide con il momento della conoscenza del danno (DTF 126 V 445 consid. 3b; DTF 116 V 77 in fondo con riferimenti; STFA H39/02 del 9 gennaio 2003 consid. 3 e H 405+406/00 del 23 agosto 2002 consid. 3.3; cfr. Nussbaumer, Les caisses de compensation en tant que parties à une procédure de réparation d’un dommage selon l’art. 52 LAVS in RCC 1991 p. 406; idem; Das Schadenersatzverfahren nach Art. 52 AHVG, p. 110). Decisiva al proposito è invece la comunicazione 18 novembre 2011 da parte dell’UF, confermata il 28 luglio 2011, secondo cui per i creditori non vi erano da prevedere dividendi (doc. 1/E, E1). Avendo la Cassa intimato la decisione di risarcimento il 30 agosto 2011, essa ha pienamente rispettato il termine biennale ex art. 52 cpv. 3 LAVS. Il credito risarcitorio non è quindi prescritto. 2.5. Costituiscono elementi del danno risarcibile, tra l’altro, i contributi AVS/AI/IPG, sia per la parte del salariato che quella del datore di lavoro (STFA H 166/02 del 28 ottobre 2002 consid. 4.1.; STCA del 10 giugno 2002 consid. 2.3 inc. 31.2002.10 ; Pratique VSI 1994 p.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pp. 369s. e in RDAT II 2002 pp. 519s.;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 396). Tuttavia va ricordato che, in applicazione del principio dell’obbligo di collaborazione delle parti, in caso di contestazione incombe alla controparte portare le prove che l’importo del danno richiesto dalla cassa di compensazione non è corretto (RCC 1991 p. 133 consid. II/1b). Nel caso in esame, il risarcimento ex art. 52 LAVS richiesto all’insorgente è costituito dal mancato pagamento dei contributi AVS/AI/IPG/AD e AF da parte della FA 1relativi agli anni 2009 (acconto III e IV trimestre e conteggio finale) e 2010 (cfr. lo specchietto dell’evoluzione dei pagamenti in doc. 1/C-C1; cfr. anche la documentazione richiamata dal TCA al consid. 1.8 ). I contributi sono stati calcolati sulla base delle relative distinte salariali (doc. 1/G-G1) e dall’ac- certamento di salari rivendicati per il 2010, eseguito dal revisione del Servizio ispettorato della Cassa sulla base della documentazione depositata presso l’UF (doc. 1/H1). Riguardo a quest’ultimo punto occorre rilevare che, conformemente alla giurisprudenza federale, la responsabilità dell'organo societario ex art. 52 LAVS si estende anche alle pretese e ai versamenti salariali accertati unicamente dopo la data del fallimento purché riferiti a un periodo in cui l'interessato fungeva ancora quale organo (STFA H 180/03 dell'11 ottobre 2004 consid. 5.3; cfr. anche STF H 134/04 del 28 agosto 2007, STFA H 307/02, H308/02 e H 309/02 del 28 gennaio 2004 consid. 7.2.2.e riferimenti giurisprudenziali ivi citati), ciò che è il caso in esame. Infine, per quel che concerne l’ammontare del danno, con scritto 25 maggio 2012 la Cassa ha precisato che “ l’ammontare del danno danno di CHF 15'748,10 (inizialmente di CHF 19'108,40) a carico del ricorrente tiene conto dei pagamenti intervenuti il 12 settembre 2011 di CHF 2'860,30 e il 29 settembre 2011 di CHF 500.--, importo quest’ultimo versato dal ricorrente” (sottolineatura del redattore; doc. VI). 2.6.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2.7.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op. cit., RSA 1987 p. 7). 2.8.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Das Schadenersatzprozess nach Art. 52 AHVG, in Der Schweizer Treuhänder, 1995, p. 658). La giurisprudenza ritiene che, di regola, la mancata deduzione e relativo trasferimento alla Cassa dei contributi configura una grave negligenza (DTF 108 V 186ss. consid. 1b). 2.9.   Il ricorrente nega una sua negligenza circa la violazione delle prescrizioni, sostenendo che la direzione amministrativa della società era nelle mani di PI 2, mentre lui (il ricorrente) si occupava esclusivamente della direzione e della conduzione tecnica dell’azienda non avendo in effetti alcun potere decisionale. Orbene, quanto addotto dall’insorgente non è sufficiente per esimerlo da una sua responsabilità. Infatti, accettando il mandato di amministratore egli ha assunto tutti gli oneri che da tale funzione derivano (STF 9C_788/2007 del 29 ottobre 2008,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H 310/02 del 11 novembre 2003, H 33/03 del 8 ottobre 2003 e H 208/00 + H 209/00 del 28 aprile 2003; DTF 108 V 202; Frésard, op. cit., RSA 1991, p. 165). In caso contrario si finirebbe per legittimare la figura dell'uomo di paglia (STFA 365/01 del 15 aprile 2002 consid. 5, H 234/00 del 27 aprile 2001 consid. 5d). In tale contesto, nella sentenza H 160/99 dell'8 novembre 1999, il TFA ha rilevato in particolare che "scopo della norma (art. 716a cpv. 1 CO, ndr) è di evidenziare che il mandato quale consigliere d'amministrazione non può essere inteso unicamente quale sinecura, ossia quale incombenza scarsamente impegnativa e di poca responsabilità." Infine, secondo la giurisprudenza federale, se l’amministrazione di una piccola società è composta da un solo membro, si può in generale esigere da quest’ultimo - nella misura in cui egli assume da solo nelle sue vesti di organo l’amministrazione della società - l’insieme delle attività importanti della ditta e ciò anche allorquando egli abbia a sua volta affidato i compiti essenziali della gestione a un direttore: con questa delega delle competenze egli non può nel contempo venir meno ai suoi obblighi di amministratore unico (DTF 108 V 203 consid. 3b). Nel caso concreto, i l ricorrente ha omesso di verificare se i contributi sociali fossero stati pagati, in particolar modo tenuto conto che egli è subentrato quale amministratore unico nel luglio 2010 allorquando vi era già degli oneri sociali arretrati ( sull’obbligo del nuovo amministratore di vegliare affinché vengano versati i contributi correnti e quelli scaduti e dovuti quando egli non era ancora in carica cfr. DTF 119 V 407 consid. 4c; RCC 1992 p. 269 consid. 7b). Egli sostiene inoltre che prima di entrare in carica non avrebbe potuto ottenere informazioni sullo stato dei pagamenti, in particolare per quanto concerne i contributi. Ma è altrettanto vero, come rettamente sottolineato dalla stessa amministrazione, che prima di accettare il mandato il ricorrente avrebbe dovuto informarsi presso l’amministratore unico uscente sulla situazione debitoria della Cassa. Infine, l’insorgente non poteva, nella veste di amministratore unico, accontentarsi di svolgere un ruolo passivo nella società o limitare la propria attività agli aspetti prettamente tecnici. La passività a dispetto della conoscenza (eventuale) di mancati pagamenti di contributi deve essere considerata un’inos- servanza per negligenza grave delle prescrizioni (RCC 1989 p. 115). La passività dimostrata dall’insorgente è quindi in relazione di causalità naturale e adeguata con il danno subito dalla Cassa (STFA 21 maggio 2003 nella causa A. [H 13/03], 13 maggio 2002 nella causa A. [H 65 /01] e 17 gennaio 2002 nella causa A. e B. [H 38/01]). Del resto, secondo la giurisprudenza, quando un membro del consiglio d'amministrazione accerta di non essere in grado di svolgere le funzioni che gli incombono e che ripetute richieste vengono sistematicamente disattese, egli può (e deve) mettere fine con atti propri alla situazione di rischio, rassegnando le dimissioni (STF H 10/07 del 7 marzo 2008 consid. 6.6, con riferimento alla STFA H 258/03 del 14 aprile 2005 consid. 4.4), ciò che l’interessato non ha fatto. 2.10. 2.10.1   Occorre tuttavia esaminare se speciali circostanze legittimavano il datore di lavoro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del 12 febbraio 2009 inc. 31.2008.6). Da distinguere dal caso in cui il datore di lavoro non versa i contributi per salvare l’azienda, la cui omissione può costituire motivo di giustificazione, vi è la fattispecie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 STF 9C_812/2007 del 12 dicembre 2008 consid. 3.3 con riferimenti; cfr. in dettaglio Reichmuth, cit., n. 696 ss pp. 163 ss; cfr. anche Meyer, cit., p. 36 ).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2.10.2.   In concreto, n on sono stati invocati motivi di giustificazione, rispettivamente di discolpa nel senso della giurisprudenza cita al considerando precedente. Occorre comunque rilevare che la FA 1 ha liquidato, dopo numerose diffide e precetti, unicamente gli acconti del I e II trimestre 2009 lasciando insoluti gli acconti del III e IV trimestre 2009 (conteggio finale incluso) e tutti quelli del 2010. In queste circostanze non risultano dati gli estremi, che l’insorgente nemmeno fa valere, per ammettere nella specie che il differimento dei pagamenti fosse riconducibile ad una momentanea crisi finanziaria della società o ad una passeggera situazione di illiquidità (in argomento DTF 123 V 244, 121 V 243, 108 V 188; STFA H 134/02 del 30 gennaio 2003, STFA H 297/03 del 4 novembre 2004, STFA H 277/01 del 29 agosto 2002; RCC 1992 p. 261). Come detto al considerando precedente, il TFA ha circoscritto a due o tre mesi la perdita contributiva tollerabile dal profilo dell'art. 52 LAVS , a condizione che il datore di lavoro abbia regolarmente versato i precedenti contributi, circostanza che, come visto sopra, non corrisponde al caso in esame.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ciò che in casu è accaduto. In conclusione, non essendo ravvisabile alcun valido motivo di giustificazione, rispettivamente di discolpa, il ricorrente deve risarcire alla Cassa gli oneri sociali non versati FA 1 per complessivi fr. 15'748,10. 2.11. Il ricorrente ha chiesto l’assunzione di alcuni mezzi di prova (I).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 212; Kölz/Häner, Verwaltungsverfahren und Verwaltungsrechtspflege des Bundes, 1998, p. 39 no. 111 e p. 117 no. 320; DTF 122 II 469, 122 III 223). In tal caso non sussiste una violazione del diritto di essere sentito conformemente all'art. 29 cpv. 2 Cost. (SVR 2001 IV N. 10 p. 28; DTF 124 V 94 ). Nel caso in esame, la documentazione agli atti è sufficiente per statuire nel merito della presente vertenza, per cui non si rende necessario assumere altre prove. La generica richiesta di assunzione “doc. e testi” non merita considerazione alcuna; l’ispezione presso l’URC non è necessaria visto che l’estratto RC della società è già agli atti. Per quel che concerne il richiamo di un estratto completo delle esecuzioni a carico della società, come visto, lo stesso è stato richiamato dal TCA ed inviato al ricorrente (cfr. consid. 1.8). Non è invece necessario il richiamo dall’UF dell’intero incarto relativo alla società visto che agli atti vi è la graduatoria del fallimento (doc. 1/I) come pure l’insinuazione del credito di cui il ricorrente ha già avuto una copia (doc.1/L). 2.12.   Quanto alla domanda con la quale PI 1 ha chiesto la revoca e l’annullamento del decreto di chiamata in causa (cfr. consid. 1.7) va rilevato quanto segue. Con la chiamata in causa,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 183 seg.; Kölz/Häner, op. cit., p. 191 n. 528; DTF 125 V 80 consid. 8b p.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 p. 191 seg. n. 528). Non è pertanto comprensibile la domanda formulata da PI 1 ritenuto che, come emerge dalla succitata giurisprudenza, la chiamata in causa è un suo diritto e tutela i suoi interessi. Del resto, egli poteva impugnare il decreto al TF quale decisione incidentale. 2.13.   Visto tutto quanto precede il ricorso va dunque respinto e la decisione su opposizione impugnata confermata. 2.14.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Moser-Szless, Le recours en matière de droit pubblic au Tribunal fédéral dans le domaine des assurances sociales – aspects choisis, in HAVE 2010 p. 342; Fretz, La responsabilité selon l’art. 52 LAVS: une comparaison avec les art. 78 LPGA e 52 LPP, in HAVE 2009 p.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ammissibilie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