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31.2011.4 vom 21. November 2011</w:t>
      </w:r>
    </w:p>
    <w:p>
      <w:r>
        <w:t>TI Tribunale d'appello, 2011-11-21, IT</w:t>
      </w:r>
    </w:p>
    <w:p>
      <w:r>
        <w:rPr>
          <w:b/>
        </w:rPr>
        <w:t xml:space="preserve">Quelle: </w:t>
      </w:r>
      <w:r>
        <w:t>https://mcp.opencaselaw.ch/entscheid/ti_gerichte_31.2011.4</w:t>
      </w:r>
    </w:p>
    <w:p>
      <w:r>
        <w:t>FR: TI_GERICHTE 31.2011.4 du 21 novembre 2011</w:t>
      </w:r>
    </w:p>
    <w:p>
      <w:r>
        <w:t>IT: TI_GERICHTE 31.2011.4 del 21 novembre 2011</w:t>
      </w:r>
    </w:p>
    <w:p>
      <w:pPr>
        <w:pStyle w:val="Heading2"/>
      </w:pPr>
      <w:r>
        <w:t>Regeste</w:t>
      </w:r>
    </w:p>
    <w:p>
      <w:r>
        <w:t>Responsabilità ex 52 LAVS del socio gerente di una Sagl. Nel caso concreto non sussiste alcun valido motivo giustificante il mancato pagamento degli oneri sociali.Non é possibile concludere per un'interruzione del nesso causale adeguato tra danno subìto dalla Cassa e grave negligenza dell'insorgente</w:t>
      </w:r>
    </w:p>
    <w:p>
      <w:pPr>
        <w:pStyle w:val="Heading2"/>
      </w:pPr>
      <w:r>
        <w:t>Erwägungen</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oggetto del danno è il mancato pagamento dei contributi AVS/AI/IPG/AD e AF dovuti dalla FA 1 SAGL negli anni 2008-2009 e determinati sulla base delle relative distinte salariali (cfr. doc. 3/C e 3/E). Altra posizione del danno sono i contributi paritetici determinati sui salari rivendicati (periodo 2009), emersi a seguito della revisione eseguita dall’Ispettore della Cassa dopo l’apertura del fallimento della società (doc. 1/H), per complessivi fr. 5'642.90, così come risulta dal conteggio 25 febbraio 2010 (doc. 1/D3). L’importo di fr. 5'642.90 per i contributi paritetici sui salari non rivendicati è contestato dal ricorrente, il quale, non sollevando più puntualmente in sede ricorsuale le censure e le argomentazioni addotte con l’opposizione, si è limitato a precisare che “(…) fr. 5'642’90 sarebbero riferiti a “salari non percepiti ma insinuati all’Ufficio esecuzione e fallimenti di __________ anno 2009 ./. l’indennità insolvenza”, per un totale fr. 69'652.-. Visto che ai dipendenti è verosimilmente riservato un dividendo del 20/30%, non appare corretto basarsi sull’ammontare insinuato. (…) ” (doc. 2). Al riguardo occorre innanzitutto rilevare che, conformemente alla giurisprudenza federale, i contributi paritetici devono essere riscossi, indipendentemente dal momento in cui il salario è pagato, su tutte le retribuzioni dovute per il periodo di attività lucrativa durante la quale il salariato era soggetto a obbligo di contribuzione (DTF 110 V 225). Pertanto, i contributi sociali sono dovuti dal momento in cui il lavoratore dipendente realizza il suo diritto al salario (RCC 1976, p. 87). Di conseguenza, non è determinante sapere se effettivamente il salario sia stato versato al lavoratore (vedi in questo senso la STCA del 15 ottobre 2003, inc. 31.2002.48-49). Infine, a titolo abbondanziale, all’argomentazione, addotta solo in sede di opposizione, secondo cui non sarebbe corretto basarsi sull’ammontare insinuato per contributi su rivendicazioni ritenuti i possibili dividendi, questo Tribunale non può comunque che confermare quanto sostenuto dalla Cassa e, più precisamente, che “(…) la Cassa ha insinuato nel fallimento unicamente la quota parte a carico del datore di lavoro riferita ai contributi AVS/AD/AF/AFI e alle spese di amministrazione pari CHF 5'642.90 (doc. D 3 ) sui salari rivendicati al netto, dedotte le indennità di insolvenza versate agli ex dipendenti (doc. H). Per contro, l’amministrazione del fallimento nel versamento dei dividendi sui salari rivendicati dagli ex salariati, ha proceduto alla rispettiva trattenuta della quota parte dei contributi AVS/AI/IPG e AD a carico dei dipendenti (doc. M) che, come suesposto, non è stata richiesta dalla Cassa nella propria insinuazione di credito relativa ai contributi sulle rivendicazioni di credito (doc. D 3 ). (…)” (doc. 1, le sottolineature sono del redattore). Del resto non è stata inoltrata alcuna contestazione della graduatoria per i crediti di I.a e II.a classe depositata il 21 maggio 2010 (doc. 1/L). 2.3.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2.5.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La giurisprudenza ritiene che, di regola, la mancata deduzione e relativo trasferimento alla Cassa dei contributi configura una grave negligenza. (DTF 108 V 186ss. consid. 1b). 2.6.   L’insorgente – dopo aver premesso che “(…) reale ed effettivo promotore dell’impresa era PI 1, già esperto del ramo, il quale tuttavia, avendo domicilio in __________, chiedeva alla signora RI 1 di assumere formale nonché temporanea carica di gerente, ciò che effettivamente avveniva alla costituzione della società con l’iscrizione di un diritto di firma individuale della qui ricorrente nel Registro di commercio. […] Per ovviare a qualsiasi responsabilità scaturente dall’attività della società le parti si accordarono nel senso che RI 1 rilasciasse al PI 1 una procura generale, la più ampia possibile. […] L’ampio stralcio di procura riportato dimostra come al momento in cui la società divenne operativa, nel dicembre 2005, qualsiasi attività fosse in capo a PI 1, gerente di fatto e responsabile assoluto. Nulla competeva alla qui ricorrente, la quale nemmeno ha mai disposto dei fondi in Banca, competenza pure esercitata dal gerente di fatto. (…)” (I) – ha, in particolare, sostenuto che la Cassa non avrebbe considerato l’importanza del decreto di accusa del 31 agosto 2009 a carico di PI 1 (doc. F) e della procura generale del 23 dicembre 2005 conferita a favore dello stesso PI 1 (doc. E). Tuttociò non è sufficiente per liberare l’insorgente da una responsabilità ex art. 52 LAVS. Va innanzitutto rilevato che, conformemente alla giurisprudenza federale,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pp. 226-229; cfr. anche Pratique VSI 2002 pp. 177-178; STFA 21 giugno 2001 nella causa J. e V. [H 20/01]). Il suo comportamento nell’ambito della gestione va quindi valutato secondo gli stessi criteri applicati agli amministratori di questa società (STF 9C_788/2007 del 29 ottobre 2008; STFA H 95/04 del 8 marzo 2005, STFA H 337/01 del 23 gennaio 2003; STCA dell’11 ottobre 2011 [31.2011.6] con riferimenti ad altre STCA). Di conseguenza, accettando la carica di socio gerente, l’insorgente ha assunto tutti gli oneri che da tale funzione derivano.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questo contesto non è certamente esimente da colpa il fatto che la ricorrente asserisca di aver assunto la carica di socio gerente quale “(…) gerente fiduciaria (…)” e che “(…) qualsiasi attività fosse in capo a PI 1, gerente di fatto e responsabile assoluto. (…)” (I). Infatti, l’insorgente non prova né tantomeno adduce per quali ragioni ella sarebbe stata impedita di svolgere le proprie mansioni di socia gerente e dalla sola procura generale del 23 dicembre 2005 (doc. E) non è possibile concludere in questo senso. Inoltre, nella dichiarazione 8 settembre 2011, __________, della Banca __________ di __________, ha confermato che “(…) in occasione degli incontri con il sig. PI 1, in rappresentanza di FA 1 Sagl, ora fallita, presenziavano anche il Sig. __________ o la Signora RI 1, o entrambi (…)” (XX/12). Del resto, la circostanza che all’interno della società fossero state definite le competenze, come da mandato fiduciario sottoscritto il 23 dicembre 2005 (doc. E), non è rilevante ai fini della responsabilità ex art. 52 LAVS (STFA H 13/03 del 21 maggio 2003 e STCA [31.2008.15] del 16 dicembre 2009). Un amministratore diligente non può estraniarsi dai problemi della società sostenendo che altri si occupavano della gestione (RCC 1989 pp. 114s; STFA 17 ottobre 1996 nella causa M.G.; STCA 31.1997.13-14 del 30 settembre 1998) . Addirittura è da ritenere negligenza grave anche la passività di amministratori esclusi di fatto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Non soccorrono l’insorgente neppure le circostanze, addotte con l’opposizione e confermate con il ricorso, secondo le quali la situazione non sarebbe stata tale da giustificare il fallimento ritenuto che la società “(…) disponeva in Banca di una liquidità pari a ca. fr. 130'000.-, sufficiente dunque per far fronte al pagamento degli oneri sociali. Vantava inoltre crediti per lavori eseguiti e non ancora incassati per oltre fr. 500'000.-, di cui fr. 350'000.- riconducibili a un grosso cliente moroso (cantiere ____________________). (…)” (doc. H, punto 4). Al riguardo questo Tribunale non può che confermare quanto sostenuto dalla Cassa e, più precisamente, che “(…) l’argomentazione dell’insorgente, secondo cui la società si sarebbe trovata priva di liquidità disponibile, a seguito del blocco bancario ordinato dall’Ufficio esecuzioni e fallimenti di Mendrisio sul quale avrebbe disposto un importo di ca. CHF 130'000.00 sufficiente per far fronte agli oneri sociali, è pretestuosa. (…)” (doc. 1). Infatti, come addotto a ragione anche dalla Cassa, nella lettera 30 marzo 2011, l’Ufficio di esecuzione e fallimenti di __________ ha precisato che “(…) il giorno dell’apertura della procedura di liquidazione del fallimento citato a margine, il 06.10.2009, il nostro Ufficio ha proceduto al blocco del conto corrente intestato alla fallita presso la Banca __________ – __________, peraltro l’unico dichiarato dalla signora RI 1. Evidentemente non è il blocco del conto, successivo al decreto di fallimento, ad avere causato lo stesso. Su questo conto, valuta del fallimento, è stato rinvenuto un saldo di Fr. 3'075.23. Dopo tale data e più precisamente il 07.10.2009, su questo conto sono poi stati accreditati ancora Fr. 11'394.25. Solo in un secondo tempo, il 25.05.2010, nell’ambito degli accertamenti effettuati dal nostro Ufficio, è emerso come la fallita fosse intestataria anche di un conto presso la Banca __________ - __________. Il saldo di questo conto era di Fr. 2'192.85. (…)” (doc. 1/G, la sottolineatura è del redattore). Dalla medesima lettera si evince inoltre come l’UEF abbia proceduto all’incasso dei crediti segnalati e che i versamenti sul conto della fallita, in particolare l’incasso integrale del credito di fr. 115'000.--, è pervenuto il 23 ottobre 2009, quindi dopo il decreto 6 ottobre 2009 con il quale la Pretura del Distretto di Mendrisio ha dichiarato lo scioglimeto della società (cfr. consid. 1.2). Quanto agli asseriti crediti per oltre fr. 500'000.--, di cui fr. 350'000.-- a carico di un grosso cliente moroso, va osservato che una ditta che attraversa una fase difficile e fonda la sua esistenza su equilibri delicati deve prendere delle misure drastiche e immediate (STFA H 336/95 del 7 maggio 1997). Il TFA ha ribadito che l’organo della società deve prestare particolare attenzione nell'ipotesi in cui è a conoscenza del fatto che la ditta sta attraversando una crisi finanziaria (STFA H 193/96 del 16 aprile 1998 consid. 3c e giurisprudenza ivi citata). Il fatto che un grosso committente non abbia onorato le proprie fatture, non può essere tutelato. Una società deve prevedere che prima o poi ci possono essere delle difficoltà nell'incasso di determinati crediti, difficoltà che, se la ditta è solida e ben gestita, non incideranno sull'esistenza della stessa qualora alcune fatture non vengano onorate. Non può inoltre non essere rilevato che, nella misura in cui le sorti della società vengono affidate all’apporto di un solo grosso cliente (in un settore per altro, quello delle costruzioni e dell’edilizia, nel quale non è escluso possano insorgere effettivi problemi di incasso), tale circostanza risulta altamente rischiosa, la ditta avendo fondato la propria esistenza su equilibri delicati, omettendo di differenziare la propria dipendenza commerciale (in argomento STCA del 18 agosto 2008 [31.2008.2], del 9 giugno 2008 [31.2007.18+20] e del 17 agosto 2007 [31.2006.8-9 e 31.2007.1]). Nella fattispecie, dagli atti risulta che la FA 1 SAGL è entrata in mora con il pagamento dei contributi per cui la Cassa ha dovuto sistematicamente diffidarla dall’agosto 2005 rispettivamente precettarla dal settembre 2005 e che (nonostante le diffide e i precetti a essa indirizzati; cfr. doc. 1/B e 1/B1 specchietto dell’evoluzione degli oneri sociali per gli anni 2008 e 2009) dal mese di aprile 2008 non ha più effettuato alcun versamento per i contributi paritetici dovuti. Ritenuta questa situazione – che denota una difficoltà della __________ SAGL a far fronte al proprio obbligo di versare i contributi sin dall’inizio della propria attività – l’insorgente non poteva accontentarsi delle asserite assicurazioni ricevute da PI 1: “(…) PI 1 aveva sempre garantito che non vi erano tributi o contributi arretrati; di fronte ai dubbi sollevati dalla ricorrente (derivanti da alcune esecuzioni arrivate a un certo punto in sue mani), egli ebbe sempre a tranquillizzarla, anche a mezzo documentale. Garantiva cioè nell’immediato di aver subito provveduto al saldo degli scoperti. (…)” (I). Del resto l’insorgente non produce né tantomeno indica con precisione quali sarebbero stati i documenti che l’avrebbero tranquillizzata. Nemmeno è possibile concludere per un’interruzione del nesso causale adeguato tra il danno subìto dalla Cassa e la grave negligenza dell’insorgente avuto riguardo al decreto di accusa del 31 agosto 2009 emanato a carico di PI 1 (doc. F). Infatti, dal decreto di accusa si evince che la ripetuta falsità in documenti è avvenuta nel periodo marzo-maggio 2009. Di conseguenza, ricordato che dal mese di aprile 2008 la FA 1 SAGL non ha più effettuato alcun versamento per i contributi paritetici e che le diffide e i precetti fino al mese di novembre 2008 erano tutti precedenti al mese di marzo 2009 (cfr. doc. 1/B e 1/B1), il comportamento passivo della socia gerente non può essere scusato per gli atti imputati a PI 1 che si riferiscono ad un periodo posteriore. Va qui rammentato che i motivi di discolpa devono riferirisi al lasso di tempo relativo ai contributi che dovevano essere versati (DTF 108 V 183 confermato in DTF 121 V 244; ZAK 1986 pag. 222). Del resto l’insorgente, senza tuttavia allegare e indicare chiaramente a quale preciso comportamento si riferisse, si è limitata a sostenere in modo del tutto generico che “(…) non ha contravvenuto al suo obbligo di vigilanza, bensì che è stata impedita nell’esercizio dello stesso da un comportamento ingannevole dell’amministratore di fatto. (…)” (I). Va qui rilevato che il TF, nella STF 9C_135/2011 dell’11 aprile 2011, ha, in particolare, evidenziato che “(…) D ie Unterbrechung des adäquaten Kausalzusammenhangs fällt insbesondere in Betracht, wenn ein Verwaltungsrat durch strafrechtlich relevante Machenschaften eines anderen Organs der Gesellschaft über die Ausstände gegenüber der Ausgleichskassen hinters Licht geführt und dadurch an der Wahrnehmung seiner Pflichten gehindert wurde (Urteile H 319/99 vom 25. Juli 1999 E. 5; H 201/06 vom 2. August 2007 E. 3.2.5; MARCO REICHMUTH, Die Haftung des Arbeitgebers und seiner Organe nach Art. 52 AHVG, 2008, Rz. 794). (…)” (STF 9C_135/2011 dell’11 aprile 2011 consid. 4.3.2). I fatti di cui al decreto di accusa del 31 agosto 2009 a carico di PI 1 (doc. F) si riferiscono ad un periodo ben posteriore rispetto a quello in cui all’insorgente – che, lo si ribadisce, nemmeno ha provato e tantomeno allegato di essere stata effettivamente impedita nelle sue incombenze – va rimproverata una grave negligenza per la sua passività a fronte del reiterato mancato pagamento dei contributi paritetici. L’insorgente non può – nella misura in cui volesse ritenere PI 1 gerente di fatto –, facendo leva su tale circostanza, liberarsi dalle proprie responsabilità se il suo comportamento costituisce ugualmente una grave violazione dei doveri che incombono a un organo formale di una società e non è giustificato da particolari circostanze (STF 9C_195/2009 del 2 febbraio 2010 consid. 4.2 e la giurisprudenza ivi citata). Quanto infine alla presunta ed esclusiva gestione della società da parte di PI 1 va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ciata; STFA 13 novembre 2000 nella causa S, H 238/98, consid. 4b; Pratique VSI 1996 p. 306). Determinante è che le circostanze addotte dall’insorgente, come visto, non costituiscono motivi sufficienti per esonerarlo dalla sua responsabilità e per escludere quindi l’esistenza di una negligenza grave. Questo Tribunale deve pertanto concludere che l’insorgente ha omesso di compiere quanto doveva apparire importante a qualsiasi persona ragionevole nell'ambito delle incombenze riconducibili alla funzione di socio gerente di una Sagl (STFA H 310/02 dell’11 novembre 2003 e H 268/01 e H 269/01 del 5 giugno 2003), ritenuto che per un unico socio gerente con diritto di firma individuale (come nella presente fattispecie) il dovere di diligenza e vigilanza risulta accresciuto, i suoi obblighi essendo quindi da connotare con particolare rigore (DTF 112 V 3; STFA H 79/05 del 14 febbraio 2006). In queste circostanze, non avendo adempiuto agli obblighi che la carica di unico socio gerente con diritto di firma individuale le imponeva, RI 1 deve essere ritenuta responsabile ex art. 52 LAVS del danno subito dalla Cassa. 2.7.   Occorre tuttavia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668s pp. 156 segg.; vedi anche Meyer, Die Rechtsprechung des Eidgenössischen Versicherungsgerichts zur Arbeitgeberhaftung; in: Temi scelti di diritto delle assicurazioni sociali, 2006, pp. 25 segg. e 35 segg.;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 STF 9C_812/2007 del 12 dicembre 2008 consid. 3.3 con riferimenti; cfr. in dettaglio Reichmuth, cit., n. 696 segg. pp. 163 segg.;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 on sono stati invocati motivi di giustificazione, rispettivamente di discolpa, nel senso della succitata giurisprudenza. Non va in ogni caso dimenticato che la FA 1 SAGL, nonostante le diffide e i precetti esecutivi, dal mese di aprile 2008 non ha più effettuato alcun versamento per i contributi paritetici (cfr. doc. 1/B e 1/B1 specchietto dell’evoluzione degli oneri sociali per gli anni 2008 e 2009).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108 V 188; STFA H 134/02 del 30 gennaio 2003, H 297/03 del 4 novembre 2004, H 277/01 del 29 agosto 2002; RCC 1992 p. 261). In conclusione, non essendo ravvisabile alcun valido motivo di giustificazione, rispettivamente di discolpa, la ricorrente deve risarcire alla Cassa la somma di fr. 87'330.55 per i contributi paritetici non soluti dalla FA 1 SAGL dal 2008 al 2009 (sino al mese di giugno), come risulta dagli estratti conto contributi paritetici per i periodi 01.01.2008 - 31.12.2008 e 01.01.2009 - 30.06.2009 nonché dai salari non percepiti ma insinuati all’UEF di __________ per l’anno 2009 dedotta l’indennità per insolvenza (doc. 1/D1, 1/D2 e 1/D3). 2.8.   Con lettera 21 settembre 2011 l’insorgente ha chiesto di indire un’udienza (cfr. consid. 1.13).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del 21 agosto 2007, consid. 2 che ha confermato questo principio, nonché DTF 122 V 47; vedi inoltre DTF 124 V 90, consid. 6, pag. 94 e il rinvio alla DTF prima citata). In concreto, non essendo stata presentata una “ domanda espressa di procedere ad un’udienza pubblica ” (l’assicurata ha chiesto unicamente di indire un’udienza previa convocazione di tutte le parti, questo TCA rinuncia all’audizione della ricorrente e del chiamato in causa poiché superflua ai fini dell’esito della vertenza (vedi anche la STF 9C_578/2008 del 29 maggio 2009 dove la generica richiesta di “ vegliare alla parità delle armi […] e all’applicazione dell’art. 6 CEDU ” non è stata giudicata sufficiente per far sorgere l’obbligo di organizzare un dibattimento pubblico). Quanto alle audizioni dei testi indicati sia dall’insorgente che da PI 1, le stesse vanno respinte in quanto ininfluenti per quanto riguarda la determinazione della responsabilità dell’insorgente che, come si è potuto appurare sulla base degli atti di causa (cfr. consid. 2.6 e 2.7), non ha adempiuto agli obblighi che la carica di unico socio gerente con diritto di firma individuale le imponeva e va quindi ritenuta responsabile ex art. 52 LAVS del danno subito dalla Cassa. Va qui ricordato che per costante giurisprudenza, dall’art .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 39 no. 111 e p. 117 no. 320; DTF 122 II 469, 122 III 223). In tal caso non sussiste una violazione del diritto di essere sentito conformemente all'art. 29 cpv. 2 Cost. (SVR 2001 IV N. 10 pag. 28; DTF 124 V 94 ). Lo stesso discorso vale, nella misura in cui non sono già stati richiamati da questo Tribunale, per gli ulteriori incarti richiamati sia dall’insorgente che da PI 1, essendo la documentazione agli atti sufficiente per poter concludere circa la responsabilità dell’insorgente ex art. 52 LAVS. Va qui del resto ricordato all’insorgente che, soprattutto se rappresentato da un legale, non può essere richiesta in termini generici l’edizione di documentazione, ritenuto che è preciso dovere processuale delle parti indicare con esattezza i documenti utili a dimostrare i motivi di discolpa invocati a sostegno del loro corretto agire (STFA H 170/01 del 23 luglio 2002 confermata nelle STFA H 177/01 del 15 novembre 2002 e H 258/03 del 14 aprile 2005). 2.9.   Quanto alla domanda con la quale PI 1 ha chiesto la revoca e l’annullamento del decreto di chiamata in causa e di essere estromesso dalla procedura (cfr. consid. 1.8 e 1.12) va rilevato quanto segue. Con la chiamata in causa, terze persone particolarmente toccate nei propri interessi dall'esito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pag. pag. 191 seg. n. 528). Non è pertanto comprensibile la domanda formulata da PI 1 ritenuto che, come emerge dalla succitata giurisprudenza, la chiamata in causa è un suo diritto e tutela i suoi interessi. 2.10.   Visto tutto quanto precede il ricorso va dunque respinto e la decisione su opposizione impugnata confermata.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ammissibilie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