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31.2006.11 vom 5. Februar 2007</w:t>
      </w:r>
    </w:p>
    <w:p>
      <w:r>
        <w:t>TI Tribunale d'appello, 2007-02-05, IT</w:t>
      </w:r>
    </w:p>
    <w:p>
      <w:r>
        <w:rPr>
          <w:b/>
        </w:rPr>
        <w:t xml:space="preserve">Quelle: </w:t>
      </w:r>
      <w:r>
        <w:t>https://mcp.opencaselaw.ch/entscheid/ti_gerichte_31.2006.11</w:t>
      </w:r>
    </w:p>
    <w:p>
      <w:r>
        <w:t>FR: TI_GERICHTE 31.2006.11 du 5 février 2007</w:t>
      </w:r>
    </w:p>
    <w:p>
      <w:r>
        <w:t>IT: TI_GERICHTE 31.2006.11 del 5 febbraio 2007</w:t>
      </w:r>
    </w:p>
    <w:p>
      <w:pPr>
        <w:pStyle w:val="Heading2"/>
      </w:pPr>
      <w:r>
        <w:t>Regeste</w:t>
      </w:r>
    </w:p>
    <w:p>
      <w:r>
        <w:t>Il dividendo proveniente dal fallimento di una società datrice di lavoro dev'essere computato sui contributi paritetici scaduti secondo il principio del debito più vecchio stabilito dall'art. 87 CO.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dicembre 2002 nella causa B. [H 279/01], 11 gennaio 2002 nella causa C. [H 103/01]; DTF 123 V 244, 108 V 188). Non avendo inoltre l’attore adotto particolari motivi di giustificazione o di discolpa, egli è tenuto a risarcire alla Cassa l’importo di fr. 37'414,47.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