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31.2005.8 vom 4. Mai 2006</w:t>
      </w:r>
    </w:p>
    <w:p>
      <w:r>
        <w:t>TI Tribunale d'appello, 2006-05-04, IT</w:t>
      </w:r>
    </w:p>
    <w:p>
      <w:r>
        <w:rPr>
          <w:b/>
        </w:rPr>
        <w:t xml:space="preserve">Quelle: </w:t>
      </w:r>
      <w:r>
        <w:t>https://mcp.opencaselaw.ch/entscheid/ti_gerichte_31.2005.8</w:t>
      </w:r>
    </w:p>
    <w:p>
      <w:r>
        <w:t>FR: TI_GERICHTE 31.2005.8 du 4 mai 2006</w:t>
      </w:r>
    </w:p>
    <w:p>
      <w:r>
        <w:t>IT: TI_GERICHTE 31.2005.8 del 4 maggio 2006</w:t>
      </w:r>
    </w:p>
    <w:p>
      <w:pPr>
        <w:pStyle w:val="Heading2"/>
      </w:pPr>
      <w:r>
        <w:t>Regeste</w:t>
      </w:r>
    </w:p>
    <w:p>
      <w:r>
        <w:t>risarcimento danni giusta l'art. 52 LAVS; negata la responsabilità di un amministratore per mancato pagamento di contributi divenuti esigibili dopo le sue dimissioni; obbligo per un amministratore di informarsi regolarmente sulla situazione contributiva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cpv. 2 CF ( SVR 2001 N. 10 p. 28; DTF 124 V 94 ). Nel caso in esame, la documentazione acquisita agli atti è sufficiente per statuire nel merito della presente vertenza, per cui non si rende necessario assumere altre prove. In particolare non è necessario procedere all'audizione testimoniale dei succitati azionisti e dei membri del CdA, ritenuto che i fatti posti a fondamento del presente giudizio risultano ampiamente accertati sulla base degli atti contenuti nel fascicolo (sul tema audizione testi cfr. STFA 16 aprile 2003 nella causa P., D., B., H 234/02 + 237/02 + 239/02; STFA 28 aprile 2003 nella causa P. e M., H 208/00 e H 209/00). Va inoltre rammentato che non occorre far capo all'audizione di testi per accertare un elemento irrilevante ai fini del giudizio ( STFA 11 novembre 2003 nella causa B., H 310/02; STFA 5 giugno 2003 nella causa V. C. e R. G., H 268/01 e H 269/01).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