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31.2004.3 vom 5. Februar 2004</w:t>
      </w:r>
    </w:p>
    <w:p>
      <w:r>
        <w:t>TI Tribunale d'appello, 2004-02-05, IT</w:t>
      </w:r>
    </w:p>
    <w:p>
      <w:r>
        <w:rPr>
          <w:b/>
        </w:rPr>
        <w:t xml:space="preserve">Quelle: </w:t>
      </w:r>
      <w:r>
        <w:t>https://mcp.opencaselaw.ch/entscheid/ti_gerichte_31.2004.3</w:t>
      </w:r>
    </w:p>
    <w:p>
      <w:r>
        <w:t>FR: TI_GERICHTE 31.2004.3 du 5 février 2004</w:t>
      </w:r>
    </w:p>
    <w:p>
      <w:r>
        <w:t>IT: TI_GERICHTE 31.2004.3 del 5 febbraio 2004</w:t>
      </w:r>
    </w:p>
    <w:p>
      <w:pPr>
        <w:pStyle w:val="Heading2"/>
      </w:pPr>
      <w:r>
        <w:t>Regeste</w:t>
      </w:r>
    </w:p>
    <w:p>
      <w:r>
        <w:t>perenzione del credito di risarcimento ex art. 52 LAVS; diritto intertemporale;in casu la cassa poteva far decorrere il termine biennale di perenzione dalla pubblicazione della sospensione della procedura fallimentare; nel merito l'amministrazione unico è responsabile del danno subito dalla cassa</w:t>
      </w:r>
    </w:p>
    <w:p>
      <w:pPr>
        <w:pStyle w:val="Heading2"/>
      </w:pPr>
      <w:r>
        <w:t>Erwägungen</w:t>
      </w:r>
    </w:p>
    <w:p>
      <w:r>
        <w:rPr>
          <w:b/>
        </w:rPr>
        <w:t>E. 1</w:t>
      </w:r>
    </w:p>
    <w:p>
      <w:r>
        <w:t>seconda cifra LEF; DTF 118 III 10 segg.). Già solo alla luce di queste considerazioni se ne deve concludere che alla Cassa non può essere rimproverata una grave negligenza nell'espletazione dei propri obblighi che giustificherebbe una riduzione della propria pretesa risarcitoria ai sensi della citata giurisprudenza" (sottolineatura del redattore). Va poi ricordato che, per quanto riguarda la notifica di atti esecutivi a persone giuridiche, ai sensi dell’art. 65 cpv. 2 LEF, in assenza, dall’ufficio, del destinatario (per una società anonima questo corrisponde a qualunque membro dell’amministrazione o della direzione, come pure a qualunque direttore o procuratore;  cfr. art. 65 cpv. 1 cifra 2 LEF), la notifica è da considerare valida se viene eseguita ad un altro funzionario o impiegato. In casu, i precetti esecutivi sono stati intimati all’attenzione dell’amministratore unico, qui ricorrente, presso la sede della FA 1 SA e recapitati al procuratore, con diritto di firma individuale, __________ (doc. 3/3 allegato a XVII) o alla segretaria (doc. 3/7, 3/11, 3/15 e 3/18 allegato a. XVII) e quindi sono stati validamente notificati. Infine, per quanto riguarda l’anticipo richiesto ex art. 230 cpv.2 LEF dall’UF di __________ ai creditori della fallita, in sede di duplica la Cassa ha rettamente affermato che non sussiste alcun obbligo, né in virtù della LEF né della LAVS, nel senso, appunto, di versare l’anticipo. Del resto, vista la mancanza di attivi accertata dalla competente autorità di fallimento, un eventuale versamento da parte dall’amministrazione di tale anticipo avrebbe sicuramente aumentato il danno subito. Visto quanto precede, non vi è nessun valido motivo per poter ipotizzare una riduzione del danno conformemente alla succitata giurisprudenza federale. 2.11.   In merito alla responsabilità ex art. 52 LAVS, va detto che p er definizione, il conseguente danno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 34ss OAVS; RCC 1985, pag. 607 consid. 5a). L’obbligo di conteggiare e versare i contributi da parte del datore di lavoro è un compito di diritto pubblico (Pratique VSI 1994 pag. 108 consid. 7a con riferimenti) ed il venire meno a questo compito costituisce una violazione di prescrizioni ai sensi dell’art. 52 LAVS e comporta il risarcimento integrale del danno (Pratique VSI 1993 pag. 84 consid. 2a; DTF 111 V 173 consid. 2, 108 V 186 consid. 1a; 192 consid. 2a; RCC 1985 pag. 646 consid. 3a, 650 consid. 2). Inoltre - anche se ciò non è esplicitamente menzionato nella legge - il datore di lavoro deve preoccuparsi dei contributi paritetici dei quali egli è tenuto ad assumere il prelevamento e la trasmissione alla Cassa con tutta la necessaria attenzione richiesta. Ne consegue che se egli è causa della propria insolvenza nei confronti della Cassa, egli può essere reso responsabile ai sensi dell'art. 52 LAVS, anche se non ha violato una prescrizione specifica della LAVS (RCC 1985, pag. 608 consid. 5b). 2.12. La cassa di compensazione che constata di aver subito un danno in seguito alla non osservanza delle prescrizioni (ad es. dell'art. 14 LAVS, relativo all'obbligo di dedurre da ogni paga i contributi e di versarli periodicamente alla cassa, rispettivamente degli art.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pag 307; RCC 1992 pag. 261 consid. 4b, 1985 pag. 604 consid. 3a). L’obbligo del datore di lavoro e dei suoi organi responsabili di risarcire il danno alla Cassa sarà negato, e di conseguenza decadrà, se questi reca e prova motivi di giustificazione, rispettivamente di discolpa (DTF 108 V 187 consid. 1b; Frésard, op. cit., in RSA 1987, pag. 7). 2.13.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pag. 647 consid. 3b). Nel caso di una società anonima si debbono porre esigenza molto severe per quanto concerne l’attenzione da prestare alle prescrizioni AVS (DTF 108 V 203 con riferimenti). La giurisprudenza ritiene che, di regola, la mancata deduzione e relativo trasferimento alla Cassa dei contributi configura una grave negligenza. (DTF 108 V 186ss. consid. 1b). Occorre però esaminare se speciali circostanze legittimavano il datore di lavoro a non versare i contributi o potevano scusarlo dal provvedervi ( DTF 121 V 244 consid. 4b, 108 V consid. 1b e 193 consid.2b). 2.14.   Nell’evenienza concreta, il ricorrente ha rimarcato come la Cassa non abbia dimostrato l’agire intenzionale o la grave negligenza riguardo alla violazione delle prescrizioni AVS, dimenticando tuttavia che, come ricordato al consid. 2.12, si tratta di una presunzione legale e che quindi spetta all’interessato dimostrare il contrario. A giustificazione del proprio agire, l’ex amministratore unico ha addotto che il tracollo finanziario della FA 1 SA era dovuto principalmente al fallimento della debitrice __________, a cui si è aggiunta la “latente crisi generalizzata” che ha contribuito a peggiorare la situazione economica. Innanzitutto va precisato che, secondo costante giurisprudenza (STCA 14 giugno 1995 nella causa C., Inc. 31.95.00012) la responsabilità del datore di lavoro ai sensi dell'art. 52 LAVS non è in relazione alla gestione della società per se stessa, né a eventuali cause di un fallimento. Il Tribunale federale delle assicurazioni ha precisato che la ditta che attraversa una fase difficile e fonda la sua esistenza su equilibri delicati deve prendere delle misure drastiche e immediate ( STFA del 23 luglio 2002 nella causa U.G., E. G e R. G., H 170/01, consid. 4.6. e riferimenti; STFA del 7 maggio 1997 nella causa V., H 336/95, consid. 3d). In un'altra sentenza il TFA ha ancora ribadito che l’organo della società deve prestare particolare attenzione nell'ipotesi in cui è a conoscenza del fatto che la ditta sta attraversando una crisi finanziaria (STFA del 31 agosto 2001 nella causa B., H 446/00, consid. 4a; STFA del 16 aprile 1998 nella causa G., p. 6 e giurisprudenza ivi citata). Il TFA ha peraltro già avuto modo di ricordare che, poiché quella del settore immobiliare – la FA 1 SA era attività in lavori di carpenteria - è una crisi notoria, l'amministratore deve sapere che possono sorgere delle complicanze al momento dell'incasso dei crediti (STFA non pubblicata del 16 aprile 1998 nella causa O. G, H 193/96, consid. 3c; STCA del 14 ottobre 2002 nella causa E. B., E. B. e S. M., Inc. 31.00.30-32, consid. 2.8.1.1; STCA del 22 marzo 2002 nella causa A., Inc. 31.01.23, consid. 2.9.1) e quindi deve trarre le dovute conseguenze. Va al riguardo ricordato che il TFA ha considerato cronico il mancato pagamento dei contributi durante numerosi mesi (STFA del 7 maggio 1997 nella causa G; cfr. anche STFA del 7 maggio 1997 nella causa V., in cui il mancato pagamento è durato all’incirca dieci mesi). L'Alta Corte ha per contro ritenuto giustificato il mancato versamento della durata di tre mesi se tuttavia precedentemente i contributi erano stati versati regolarmente (cfr. DTF 121 V 243; STFA del 30 gennaio 2003 nella causa W. e P., H 134/02, consid. 3.1. e 3.2.; STFA del 20 agosto 2002 nella causa A. e B., H 295/01, consid. 5; STFA del 29 aprile 2002 nella causa H., M. e S., H 209/01, consid. 4b). Secondo la giurisprudenza del TFA, non può essere riconosciuto alcun motivo di giustificazione se il differimento dei pagamenti dei contributi paritetici era cronico, e i pagamenti venivano effettuati solo dopo che le procedure esecutive, ripetute e numerose, giungevano a uno stadio avanzato (STFA del 27 giugno 1994 in re M.). Inoltre, secondo l'Alta Corte, nemmeno l’illiquidità della società giustifica il procrastinare del pagamento dei contributi se non sono realizzati i chiari criteri di discolpa posti dalla giurisprudenza federale (STCA del 4 maggio 1995 nelle cause M.J., M.M., B.N. e P. L.). Nell'evenienza concreta, dagli atti risulta che sin dal 1996 la società è stata in mora col pagamento dei contributi, ciò che ha costretto la Cassa a diffidarla dal mese di febbraio 1996 ed a precettarla a partire dal mese di luglio 1998 (cfr. doc.</w:t>
      </w:r>
    </w:p>
    <w:p>
      <w:r>
        <w:rPr>
          <w:b/>
        </w:rPr>
        <w:t>E. 2</w:t>
      </w:r>
    </w:p>
    <w:p>
      <w:r>
        <w:t>CF , per costante giurisprudenza, da tale principio costituzionale deve, tra l'altro, essere dedotto il diritto per l'interessato di fornire prove circa i fatti suscettibili di influire sul provvedimento, quello di poter prendere visione dell'incarto, quello di partecipare all'assunzione delle prove, di prenderne conoscenza e di determinarsi al riguardo (DTF 127 I 56 consid. 2b, 126 I 16 consid. 2a/aa, 124 V 181 consid. 1a, 375 consid. 3b e sentenze ivi citate). È utile precisare che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consid. 1a con riferimenti).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 16 settembre 2002 nella causa P.Z, L.B. e J.A.D.B, H 10+45/01, consid. 4; STFA del 5 novembre 2001 nella causa F., H 153/01, consid. 4a ; DTF 122 II 469 consid. 4a, 122 III 223 consid. 3c, 120 Ib 229 consid. 2b, 119 V 344 consid. 3c e riferimenti). In tal caso non sussiste una violazione del diritto di essere sentito conformemente all'art. 29 cpv. 2 CF (SVR 2001 N. 10 pag. 28, consid 4b; DTF 124 V 94 consid. 4b, 122 V 162 consid. 1d e sentenza ivi citata). Nel caso in esame, la documentazione acquisita durante l'istruttoria è sufficiente per statuire in merito alla presente vertenza, per cui il TCA non ritiene necessario assumere altre prove. A prescindere dall’incarto dell'UF __________ relativo alla FA 1 SA richiamato da questo TCA, non è necessario procedere all’edizione degli atti relativi alla liquidazione dell’eredità giacente fu __________, non essendo gli stessi rilevanti ai fini della causa, salvo i citati rapporti intermedi già contenuti nell’inserto dell’UF di __________ concernente la FA 1 SA (consid.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