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31.2003.2 vom 27. November 2003</w:t>
      </w:r>
    </w:p>
    <w:p>
      <w:r>
        <w:t>TI Tribunale d'appello, 2003-11-27, IT</w:t>
      </w:r>
    </w:p>
    <w:p>
      <w:r>
        <w:rPr>
          <w:b/>
        </w:rPr>
        <w:t xml:space="preserve">Quelle: </w:t>
      </w:r>
      <w:r>
        <w:t>https://mcp.opencaselaw.ch/entscheid/ti_gerichte_31.2003.2</w:t>
      </w:r>
    </w:p>
    <w:p>
      <w:r>
        <w:t>FR: TI_GERICHTE 31.2003.2 du 27 novembre 2003</w:t>
      </w:r>
    </w:p>
    <w:p>
      <w:r>
        <w:t>IT: TI_GERICHTE 31.2003.2 del 27 novembre 2003</w:t>
      </w:r>
    </w:p>
    <w:p>
      <w:pPr>
        <w:pStyle w:val="Heading2"/>
      </w:pPr>
      <w:r>
        <w:t>Regeste</w:t>
      </w:r>
    </w:p>
    <w:p>
      <w:r>
        <w:t>Sentenza o decisione senza scheda</w:t>
      </w:r>
    </w:p>
    <w:p>
      <w:pPr>
        <w:pStyle w:val="Heading2"/>
      </w:pPr>
      <w:r>
        <w:t>Erwägungen</w:t>
      </w:r>
    </w:p>
    <w:p>
      <w:r>
        <w:rPr>
          <w:b/>
        </w:rPr>
        <w:t>E. 13</w:t>
      </w:r>
    </w:p>
    <w:p>
      <w:r>
        <w:t>maggio 2002 nella causa A, H 65/01, consid. 5). Se avesse subito agito con determinazione, uscendo dalla società per tempo, avrebbe certamente evitato di trovarsi in una simile situazione (cfr. STFA del 23 agosto 2002 nella causa V. V. e M. C., H 405+406/00, consid. 4.2; STFA del 4 febbraio 2002 nella causa C., H 194/01, consid. 4c).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In siffatta evenienza incombe all'interessato il compito di esaminare l'attività dei dirigenti e di orientarsi costantemente sull'andamento degli affari, in particolare in relazioni alla questioni contributive (cfr. SVR 2001 AHV n° 15 consid. 6b; STFA dell'8 ottobre 2003 nella causa C., H 33/03, consid. 5.7).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__________(presunto organo di fatto),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e presidente del CdA di una società anonima (cfr. STFA dell'8 ottobre 2003 nella causa C., H 33/03, consid. 5.7;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e di un presidente del CdA (STFA non pubblicata dell'8 novembre 1999 nella causa G. H., H 74/99, consid. 6b;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21 maggio 2003 nella causa A, H 13/03, consid. 3.1; STFA del 13 maggio 2002 nella causa A, H 65 /01, consid. 5; STFA del 17 gennaio 2002 nella causa A e B., H 38/01, consid. 4b). 2.8.2.   __________, dopo il suo trasferimento in __________, a partire dal 1° gennaio 1999, avrebbe invitato verbalmente a più riprese l'azionista unico __________a provvedere alla sua sostituzione con un altro amministratore svizzero e ciò per ristabilire la situazione legale, ritenuto che non avrebbe più potuto occuparsi in nessuna maniera della conduzione della società. Egli avrebbe potuto dimettersi in ogni momento, se lo avesse voluto (cfr. STCA dell'8 gennaio 2003 nella causa B., Inc. 31.02.16, consid. 2.7.1). È vero che di principio le dimissioni vanno indirizzate all'assemblea generale, quindi agli azionisti (cfr. STFA del 25 novembre 1999 non pubblicata nella causa S. C. e E. G. consid. 4 d con le relative citazioni dottrinali e giurisprudenziali). Tuttavia l'amministratore unico che intende dimettersi immediatamente può farlo scrivendo direttamente alla società. Il TFA in una sentenza del 15 gennaio 1986 nella causa F., H 97/85 + 104/85, pubblicata in DTF 112 V 4-5, ha sentenziato: " A.- Die A. AG, Zürich, gründete Ende 1981/anfangs 1982 in Mehreren Kantonen 11 Tochtergesellschaften, deren gesamtes Aktienkapital von jeweils Fr. 50'000.- sie übernahm. Ferner wurde die Firma B. AG, Zürich, von der A. AG übernommen, zu den neu gegründeten Gesellschaften gehörte auch die M. AG Basel, welche sich vorwiegend mit der Vermittlung und Rekrutierung von Temporärpersonal befasste. Mit "Treuhandvertrag" vom 1. Januar 1982 setzte die A. AG S. F. als einzigen Verwaltungsrat der M. AG Basel ein und übertrug ihm treuhänderisch Aktion der Gesellschaft im Wert von Fr. 48'000.-. Nachdem S. F. in der Folge Kenntnis von der misslichen finanziellen Situation der Gesellschaft erhalten hatte, teilte er der A. AG am 6. September 1982 mit, dass er sein Mandat als einziger Verwaltungsrat der M. AG Basel per sofort niederlege. Die entsprechende Publikation im Schweizerischen Handelsamtsblatt erfolgte indes erst am 22. Februar 1983. (…) c) Der Beschwerdeführer hat der Firma A. Holding AG mit Schreiben vom 6. September 1982 erklärt, dass er sein Mandat als Verwaltungsrat der Firma M. AG per sofort niederlege. Mit dieser - an sich unbestrittenermassen korrekt erklärten - Demission trat die Beendigung des Amtes als Verwaltungsrat ein, und zwar mit sofortiger Wirkung (BÜRGI, Zürcher Kommentar, N. 8 zu Art. 705 OR ; VON STEIGER, Das Recht der Aktiengesellschaft in der Schweiz, 4. Aufl., S. 226 f.; SCHUCANY, Kommentar zum Schweizerischen Aktienrecht, 2. Aufl., N. 2 zu Art. 705 OR ; PATRY, Précis du droit Suisse des Sociétés, vol. II, S. 250 ; BGE 104 Ib 323 Erw. 2b). Eine faktische Fortsetzung des Mandats über den genannten Zeitpunkt hinaus mit der Möglichkeit, die Geschäftsführung der Gesellschaft noch massgeblich zu beeinflussen, ist trotz der Vollmachterteilung vom 1. November 1982 bzw. des Schreibens vom 2. Dezember 1982 zu verneinen. Es erscheint nämlich als glaubhaft, dass der Beschwerdeführer gewisse Handlungen nur noch zur Liquidation seines Mandats im Sinne der Erfüllung einer Sorgfaltspflicht vornahm, weil die Aktiengesellschaft infolge der fristlosen Demission ihres einzigen Verwaltungsrates formell handlungsunfähig wurde. Wenn sich der Beschwerdeführer zu diesen Handlungen - sei es zu Recht oder zu Unrecht - berechtigt oder verpflichtet fühlte, so kann daraus nicht abgeleitet werden, er habe seine Demission vorläufig suspendiert. Dies muss vorliegend um so mehr gelten, als er bereits im Schreiben vom 6. September 1982 um die entsprechende Publikation im Handelsregister ersucht hatte und in der Folge wiederholt und unwidersprochen geltend machte, die Löschung des Eintrages sei durch die Verantwortlichen der Firma A. Holding AG hinausgezögert worden (vgl. hiezu FORSTMOSER/MEIER-HAYOZ, Aktienrecht, 2. Aufl., S. 171 N. 23 ; BGE 104 Ib 324 f. Erw. 2b und 3b). Bei diesen Gegebenheiten kann entgegen der Meinung von Verwaltung und Vorinstanz nicht auf die Löschung des Eintrags im Handelsregister abgestellt werden. Als massgebender Zeitpunkt des effektiven Ausscheidens aus dem Verwaltungsrat muss vielmehr der 6. September 1982 betrachtet werden". Inoltre, per quanto attiene alla convocazione dell'assemblea generale, i primi due capoversi dell'art. 699 CO prevedono quanto segue: 1 L’assemblea generale è convocata dal consiglio d’amministrazione e, quando occorra, dall’ufficio di revisione; il diritto di convocarla spetta anche ai liquidatori ed ai rappresentanti degli obbligazionisti. 2 L’assemblea generale ha luogo ogni anno, entro sei mesi dalla chiusura dell’esercizio annuale; ogni qualvolta lo richieda il bisogno, si convocano assemblee straordinarie. Per la forma della convocazione, l'art. 700 cpv. 1 CO stabilisce: 1 La convocazione dell’assemblea generale deve farsi nella forma prescritta dallo statuto, almeno venti giorni prima di quello fissato per l’adunanza. Ora, visto che la legislazione vigente permette la convocazione di un'assemblea generale straordinaria in tempi brevi (20 giorni), non è comprensibile che __________ abbia atteso sino al 19 giugno 2001 (cfr. doc. _). Il convenuto oltre ad aver avuto, come detto, la possibilità (inutilizzata in casu) di presentare le proprie dimissioni inviandole direttamente alla società, avrebbe potuto anche indire un'assemblea straordinaria e, qualora non si fosse presentato nessuno, verbalizzare che l'assemblea generale è risultata deserta. __________ quindi, munito delle lettera di dimissioni e del verbale dell'assemblea generale (seppur deserta), avrebbe potuto provvedere anche alla cancellazione a RC. Infatti l'art. 711 CO prevede: 1 La società notifica senza indugio al registro di commercio, perché vi sia iscritta, l’uscita di un amministratore. 2 Ove tale notificazione non sia fatta entro trenta giorni, l’amministratore uscente può chiedere direttamente la cancellazione. L'art. 25a ORC prevede inoltre: Cancellazione di una persona tenuta ad iscriversi 1 Se una persona giuridica non richiede la cancellazione di una persona iscritta uscita dall'amministrazione, l'interessato stesso può richiedere la sua cancellazione dopo 30 giorni dalla sua uscita. Deve presentare i giustificativi necessari. 2 L'ufficiale del registro comunica immediatamente alla società la cancellazione. Quindi, secondo l'art. 25a cpv. 1 dell'ordinanza del registro di commercio (ORC), se una persona giuridica non richiede la cancellazione di una persona iscritta uscita dall'amministrazione, l'interessato stesso può chiedere la sua cancellazione dopo 30 giorni dalla sua uscita (cfr. STFA dell'8 ottobre 2003 nella causa C., H 33/03, consid. 5.4), e che, per una regola generale, l'ignoranza della legge non costituisce esimente (DTF 124 V 220 consid. 2b/aa). Il TFA ha più volte confermato che l'amministratore impedito ad esercitare un controllo sul pagamento dei contributi e constatato il loro non pagamento, deve agire tempestivamente, e nel caso che la situazione non cambi dimettersi immediatamente (cfr. STFA del 17 gennaio 2002 nella causa A. e B., H 38/01, consid. 4b; STFA del 21 dicembre 1993 nella causa M.T.S. e STFA del 15 dicembre 1993 nella causa N.), ciò che in casu __________ non ha fatto. Nel caso di specie, __________ avrebbe potuto dimissionare quando voleva. Egli lo ha fatto solo il 19 giugno 2001 (cfr. doc. _). Infatti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(cfr. SVR 2000 AHV Nr. 24 = DTF 126 V 61 consid. 4a e 4b = Pratique VSI 2000, pag 293; STFA del 27 gennaio 2003 nella causa D.C., A. P. e M.P., H93/01 + H 169/01, consid. 3.5.1; STFA del 27 febbraio 2002 nella causa S., H 282/01, consid. 3a; DTF 112 V 1 consid. 3c e 3b, cfr. anche Forstmoser/Meier-Hyoz/Noberl, Schweizerisches Aktienrecht, Berna 1996 § 27 n. 54, STFA 25 novembre 1999 inedita in re SC, H 201 + 207/98). Determinante ai fini dell'accertamento della durata della responsabilità dell'amministratore è il momento dell'estinzione effettiva del mandato. Detto momento è decisivo pure qualora si sia omesso di procedere alla cancellazione dell'iscrizione nel registro di commercio (DTF 126 V 61 consid. 4a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