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31.2002.42 vom 22. September 2003</w:t>
      </w:r>
    </w:p>
    <w:p>
      <w:r>
        <w:t>TI Tribunale d'appello, 2003-09-22, IT</w:t>
      </w:r>
    </w:p>
    <w:p>
      <w:r>
        <w:rPr>
          <w:b/>
        </w:rPr>
        <w:t xml:space="preserve">Quelle: </w:t>
      </w:r>
      <w:r>
        <w:t>https://mcp.opencaselaw.ch/entscheid/ti_gerichte_31.2002.42</w:t>
      </w:r>
    </w:p>
    <w:p>
      <w:r>
        <w:t>FR: TI_GERICHTE 31.2002.42 du 22 septembre 2003</w:t>
      </w:r>
    </w:p>
    <w:p>
      <w:r>
        <w:t>IT: TI_GERICHTE 31.2002.42 del 22 settembre 2003</w:t>
      </w:r>
    </w:p>
    <w:p>
      <w:pPr>
        <w:pStyle w:val="Heading2"/>
      </w:pPr>
      <w:r>
        <w:t>Regeste</w:t>
      </w:r>
    </w:p>
    <w:p>
      <w:r>
        <w:t>Sentenza o decisione senza scheda</w:t>
      </w:r>
    </w:p>
    <w:p>
      <w:pPr>
        <w:pStyle w:val="Heading2"/>
      </w:pPr>
      <w:r>
        <w:t>Erwägungen</w:t>
      </w:r>
    </w:p>
    <w:p>
      <w:r>
        <w:rPr>
          <w:b/>
        </w:rPr>
        <w:t>E. 12</w:t>
      </w:r>
    </w:p>
    <w:p>
      <w:r>
        <w:t>dicembre 2002 nella causa B, H 279/01, consid. 3.2; STFA dell'11 gennaio 2002 nella causa C., H 103/01, consid. 4c; DTF 123 V 244 consid. 4b; DTF 108 V 188). Viste le circostanze rilevate era pensabile il contrario. Ne consegue che __________ dovrà risarcire il danno subito dalla Cassa per il mancato versamento dei contributi da parte della __________ e questo anche se egli ha investito capitali nella società. Infatti, secondo il TFA, il fatto che un convenuto abbia investito nella ditta, a fondo perso, ingenti somme provenienti dal suo patrimonio privato, nulla cambia nella sostanza, allorquando la sua responsabilità ex art. 52 LAVS sia stata appurata (cfr. STFA del 31 agosto 2001 nella causa B., H 446/00, consid. 4b; STFA del 29 febbraio 1992 nella causa J., W. e T.). 2.8.2.   Infine, la situazione economica personale descritta da __________ non è rilevante ai fini della causa poiché non può assurgere a motivo di discolpa. Nella procedura di risarcimento ai sensi dell'art. 52 LAVS non è contemplato l'istituto del condono (che presuppone l'esistenza  della buona fede e dell'onere gravoso, cfr. ad esempio art. 47 LAVS, 95 LADI e 25 LPGA). Infatti, secondo la giurisprudenza, non può essere riconosciuta la buona fede, condizione essenziale per ottenere il condono, nel caso in cui il richiedente ha agito intenzionalmente o per grave negligenza (RCC 1986, pag. 664). Se il datore di lavoro, o l’organo della persona giuridica, viene riconosciuto responsabile, questo significa che egli ha appunto agito intenzionalmente o per grave negligenza, per cui un condono é a priori escluso (cfr. STCA inedita del 18 gennaio 1996 in re F. inc. 31.94.11). Comunque alla Cassa rimane il compito di valutare nell'ambito dell'esecuzione del presente giudizio le reali possibilità di incasso (cfr. ZAK 1986 pag. 448).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