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31.2002.22 vom 10. April 2003</w:t>
      </w:r>
    </w:p>
    <w:p>
      <w:r>
        <w:t>TI Tribunale d'appello, 2003-04-10, IT</w:t>
      </w:r>
    </w:p>
    <w:p>
      <w:r>
        <w:rPr>
          <w:b/>
        </w:rPr>
        <w:t xml:space="preserve">Quelle: </w:t>
      </w:r>
      <w:r>
        <w:t>https://mcp.opencaselaw.ch/entscheid/ti_gerichte_31.2002.22</w:t>
      </w:r>
    </w:p>
    <w:p>
      <w:r>
        <w:t>FR: TI_GERICHTE 31.2002.22 du 10 avril 2003</w:t>
      </w:r>
    </w:p>
    <w:p>
      <w:r>
        <w:t>IT: TI_GERICHTE 31.2002.22 del 10 aprile 2003</w:t>
      </w:r>
    </w:p>
    <w:p>
      <w:pPr>
        <w:pStyle w:val="Heading2"/>
      </w:pPr>
      <w:r>
        <w:t>Regeste</w:t>
      </w:r>
    </w:p>
    <w:p>
      <w:r>
        <w:t>Sentenza o decisione senza scheda</w:t>
      </w:r>
    </w:p>
    <w:p>
      <w:pPr>
        <w:pStyle w:val="Heading2"/>
      </w:pPr>
      <w:r>
        <w:t>Erwägungen</w:t>
      </w:r>
    </w:p>
    <w:p>
      <w:r>
        <w:rPr>
          <w:b/>
        </w:rPr>
        <w:t>E. 14</w:t>
      </w:r>
    </w:p>
    <w:p>
      <w:r>
        <w:t>Abs. 1 AHVG ; Art. 34 ff. AHVV) durch die Firma nicht überprüft, kann er für den von der Kasse wegen der Beitragsausfälle erlittenen Schaden auch nicht haftbar gemacht werden. Ist er indessen statutarisch zur Kontrolle oder Überwachung der Geschäftsführertätigkeit verpflichtet, was nicht mit der Einsetzung einer (externen) Revisionsstelle nach Art. 819 Abs. 2 OR zu verwechseln ist, kann er wegen unterlassener oder unzureichender Kontrolle genauso in die Pflicht genommen werden, wie wenn er in Kenntnis mangelhafter Geschäftsführung keine Vorkehren trifft (in diesem Sinne nicht veröffentlichtes Urteil A. vom 17. Dezember 1999, H 136/99). Hat er innerhalb der GmbH gar eine Stellung inne, die einem Geschäftsführer entspricht, ist er weiter gehenden Pflichten unterworfen (Näheres hiezu: Rolf Watter, Kommentar zum schweizerischen Privatrecht [Basler Kommentar, Obligationenrecht II], Basel/Frankfurt a.M. 1994, N 16 zu Art. 811 OR mit Hinweis auf N 3 ff. zu Art. 717 OR; Werner von Steiger, Die Gesellschaft mit beschränkter Haftung, Kommentar zum Schweizerischen Zivilgesetzbuch [Zürcher Kommentar, Band V, Teil 5c], Zürich 1965, N 33 zu Art. 811 OR; Handschin, a.a.O., § 19 N 40 ff.; Wohlmann, Die Gesellschaft mit beschränkter Haftung, a.a.O., S. 419 ff.; derselbe, GmbH-Recht, S. 112 f.), deren Verletzung ebenfalls eine Verantwortlichkeitsklage nach sich ziehen kann (Art. 827 in Verbindung mit Art. 754 OR). Als mit der Geschäftsführung befasst gelten nicht nur Personen, die ausdrücklich als Geschäftsführer ernannt worden sind (sog. formelle Organe); dazu gehören auch Personen, die faktisch die Funktion eines Geschäftsführers ausüben, indem sie etwa diesem vorbehaltene Entscheide treffen oder die eigentliche Geschäftsführung besorgen und so die Willensbildung der Gesellschaft massgebend beeinflussen (materielle oder faktische Organe; BGE 117 II 441 Erw. 2, 571 Erw. 3, 114 V 78, 213). Darunter fallen typischerweise Personen, die kraft ihrer Stellung (z.B. Mehrheitsgesellschafter) dem formell eingesetzten Geschäftsführer Weisungen über die Geschäftsführung erteilen. (…)" Pertanto, come rettamente osservato dalla Cassa, nell'ambito della responsabilità ex art. 52 LAVS, i convenuti, soci gerenti della __________ Sagl, devono essere parificati ad amministratori di una società anonima (questa conclusione è stata confermata dal TFA in una sentenza del 21 giugno 2001 nella causa J e V, H 20/01, consid. 2). 2.9.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Innanzitutto va precisato che, secondo costante giurisprudenza (cfr. STCA 14 giugno 1995 nella causa C.; __________2) la responsabilità del datore di lavoro ai sensi dell'art. 52 LAVS non è in relazione alla gestione della società per se stessa, né a eventuali cause di un fallimento. 2.10.1   __________ ha ricoperto la carica di socio gerente dalla costituzione della società sino al</w:t>
      </w:r>
    </w:p>
    <w:p>
      <w:r>
        <w:rPr>
          <w:b/>
        </w:rPr>
        <w:t>E. 16</w:t>
      </w:r>
    </w:p>
    <w:p>
      <w:r>
        <w:t>agosto 2000 sono stati abrogati i capoversi 2 e 3 dell'art. 16 (allegato doc. _, Inc. 31.2002.22). Nella fattispecie non risulta che __________ abbia dimissionato prima dell'estate 2001. Nessuna prova di tale fatto figura agli atti. Egli ha promosso l'istanza giudiziaria tendente all'autorizzazione di recedere dalla società con effetto immediato solo il 13 settembre 2001. Ora, avendo al riguardo la decisione del giudice valenza costitutiva  e producendo i propri effetti ex nunc (cfr. Werner von Steiger, Die Gesellschaft mit beschränkter Haftung, Commentario zurighese, Zurigo 1965, N. 13 ad art. 822 CO; Idem in FJS 801, pag. 12-13; Pascal Montavon, Droit et Pratique de la SARL, Lausanne 1996, pag 296), è la decisione del Pretore di __________ del 18 dicembre 2001 che ha sancito l'uscita di __________ dalla __________ Sagl (cfr. doc. _ allegato 1, Inc. 31.2002.23), e ciò anche se egli figura ancora oggi iscritto a RC come socio gerente (l'iscrizione, come abbiamo visto, non è comunque determinante). Riassumendo __________ non è più socio gerente della __________ Sagl a partire dalla sentenza del 18 dicembre 2001. L'attrice ha quindi a torto inglobato il quarto trimestre 2001 nella decisione di risarcimento danni ex art. 52 LAVS, in quanto l'uscita dalla società sancita dal pretore il 18 dicembre 2001 é effettiva da quella data. Con la decisione del Pretore quindi, viene a cadere contemporaneamente all'aspetto societario anche quello gestionale (cfr. Werner von Steiger, Die Gesellschaft mit beschränkter Haftung, Commentario zurighese, Zurigo 1965, N. 7 ad art. 822 CO). Quindi il quarto trimestre 2001 (fr. 2'043.05, importo questo comprensivo delle spese e degli interessi, cfr. doc. _, inc. 31.2002.22) esigibile solo dal 10 gennaio 2002, non può essere fatto valere. L'importo dovuto da __________ sarebbe quindi, solo per quest'aspetto, da ridurre a fr. 15'037.55. 2.10.2.4.   Quanto al fatto che __________ sia stato esonerato da ogni responsabilità (fatto del resto non evidente, cfr. doc. allegato _ doc. _, Inc. 31.2002.22), è ininfluente nel rapporto esterno con la Cassa, trattandosi di mera questione interna, riferita al rapporto di diritto privato tra i convenuti (cfr. STFA del 16 settembre 2002 nella causa P.Z, L.B. e J.A.D.B, H 10+45/01, consid. 10.3; STFA dell'11 settembre 2002 nella causa C. C. e M. C., H 349/01, consid. 2.5; STFA del 28 maggio 2002 nella causa P., H 445/ 00, consid. 3c; STFA del 24 ottobre 2000 nella causa T., C. e S., H 113/00, consid. 5; STFA del 30 aprile 1998 nella causa C.S e C.B, H 159+164/97, pag. 7) 2.11. Infine, per quanto riguarda la richiesta di assunzione di prove fatta dal convenuto __________,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__________ assicurazioni, l'UEF e dalla Cassa disoccupazione __________, in quanto la documentazione agli atti è sufficiente per definire la responsabilità di __________ (cfr. per un caso simile cfr. STFA del 5 novembre 2001 nella causa F., H 153/01, consid. 4c . ). Inoltre, Il TFA non ammette una richiesta in termini generici di edizione di documentazione, atteso che è preciso dovere dell'interessato indicare con esattezza,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o i soci gerenti di una Sagl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va ricordato al ricorrente che in linea di principio deve produrre direttamente tutti i documenti rilevanti, che può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