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31.2001.8 vom 12. Oktober 2001</w:t>
      </w:r>
    </w:p>
    <w:p>
      <w:r>
        <w:t>TI Tribunale d'appello, 2001-10-12, IT</w:t>
      </w:r>
    </w:p>
    <w:p>
      <w:r>
        <w:rPr>
          <w:b/>
        </w:rPr>
        <w:t xml:space="preserve">Quelle: </w:t>
      </w:r>
      <w:r>
        <w:t>https://mcp.opencaselaw.ch/entscheid/ti_gerichte_31.2001.8</w:t>
      </w:r>
    </w:p>
    <w:p>
      <w:r>
        <w:t>FR: TI_GERICHTE 31.2001.8 du 12 octobre 2001</w:t>
      </w:r>
    </w:p>
    <w:p>
      <w:r>
        <w:t>IT: TI_GERICHTE 31.2001.8 del 12 ottobre 2001</w:t>
      </w:r>
    </w:p>
    <w:p>
      <w:pPr>
        <w:pStyle w:val="Heading2"/>
      </w:pPr>
      <w:r>
        <w:t>Regeste</w:t>
      </w:r>
    </w:p>
    <w:p>
      <w:r>
        <w:t>Sentenza o decisione senza scheda</w:t>
      </w:r>
    </w:p>
    <w:p>
      <w:pPr>
        <w:pStyle w:val="Heading2"/>
      </w:pPr>
      <w:r>
        <w:t>Erwägungen</w:t>
      </w:r>
    </w:p>
    <w:p>
      <w:r>
        <w:rPr>
          <w:b/>
        </w:rPr>
        <w:t>E. 47</w:t>
      </w:r>
    </w:p>
    <w:p>
      <w:r>
        <w:t>LAF, è stato oggetto di critiche e di interpretazioni divergenti da parte della dottrina e della giurisprudenza cantonale (cfr. Kieser, op. cit, pag. 658, Kieser, Streifzug durch das Familienrecht, SZS 1995 pag. 281s; SVR 1995 AHV Nr. 45 consid. 6 pag. 127, confermato in SVR 1997 AHV Nr. 128 consid. 5a pag. 389; UFAS, "Leggi cantonali sugli assegni famigliari". La giurisprudenza delle autorità cantonali di ricorso dal 1995 al 1997, Berna 1999, pag. 99-104). Dopo diversi scambi di allegati, dal documento _ (cfr. allegato a doc. _) si evince chiaramente che la signora __________ è stata autorizzata a percepire gli assegni familiari a decorrere dal 1° gennaio 1998 nella misura del 50%. Per cui la censura del convenuto deve essere disattesa. In conclusione, questo TCA, dopo attento esame dell'incarto e dopo la rettifica operata con scritto del 29 maggio 2001 sulla base della relativa documentazione prodotta (cfr. doc. _ e allegati), ritiene che la calcolazione eseguita dalla Cassa è corretta. Riassumendo quindi la Cassa è legittimata a far valere fr. 2'989.60 ai sensi dell'art. 52 LAVS.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2.9.   Innanzitutto va precisato che, secondo costante giurisprudenza (cfr. STCA 14 giugno 1995 in re G.C.; inc. __________) la responsabilità del datore di lavoro ai sensi dell'art. 52 LAVS non è in relazione alla gestione della società per se stessa, né a eventuali cause di un fallimento. __________ ha ricoperto la carica di amministratore unico della società dal 18 maggio 1998 (cfr. doc. _). 2.9.1.   __________ contesta di essere ritenuto responsabile del danno subito dalla Cassa, in quanto le fatture ed i precetti esecutivi non gli sarebbero mai stati recapitati. I coniugi __________ e __________, sarebbero stati gli unici gestori della società. Egli sarebbe stato all'oscuro di tutto. Accettando il mandato di amministratore unico della __________, __________ ha assunto tutti gli oneri che da tali funzioni derivano (cfr. STFA non pubblicata del 31 agosto 2001, nella causa R. B., H 446/00, consid. 4a; STFA non pubblicata del 5 aprile 2001, nella causa A., H 436/00, consid. 3b). La responsabilità per il corretto adempimento degli oneri assicurativi nonché la diligenza necessaria alla corretta gestione degli affari sociali non incombevano quindi solo ai coniugi __________ e __________ ( presunti amministratori materiali e azionisti della __________) ma anche e soprattutto all'organo formale amministratore unico __________, trattandosi di attribuzioni inalienabili nel senso dell'art. 716a cpv. 1 cifra 5 CO (cfr. STFA del 13 novembre 2000 non pubblicata nella causa F.S., consid. 4b, H 238/98; STFA non pubblicata dell'8 marzo 2001 nella causa A. C. R., G. P. e F. F., H 115/00 e H 132/00, consid. 5c). In caso contrario si finirebbe con il legittimare la figura "dell'uomo di paglia" (cfr. STFA non pubblicata del 29 maggio 1995 nella causa A.C., consid. 3b, H 294/94). Ai sensi dell’art. 716a cpv. 1 cifra 5 CO ad ogni amministratore spetta “l’alta vigilanza sulle persone incaricate della gestione, in particolare per quanto concerne l’osservanza della legge, dello statuto, dei regolamenti e delle istruzioni “. Pertanto, secondo la giurisprudenza, egli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__________ addossa tutta la responsabilità ai coniugi __________ e __________, i quali avrebbero gestito autonomamente la società e lo avrebbero tenuto all'oscuro di tutto. Al proposito va rilevato che effettivamente, secondo il TFA, non vi è colpa degli altri amministratori (rispettivamente del socio gerente di una società a garanzia limitata), quando l'incaricato alle questioni contributive si sottrae ai suoi obblighi di informazione nei loro confronti (cfr. STFA non pubbl. del 7 dicembre 1993 in re G.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D.S. e del 9 maggio 1993 in re T.B. e STCA del 31 marzo 1995 in re W.W).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nella causa G.F.). Nella fattispecie in esame le argomentazioni sollevate dal convenuto non sono sufficienti per liberarlo della responsabilità ex art. 52 LAVS. Egli non ha infatti minimamente provato di essere stato impedito di prendere informazioni in merito al pagamento dei contributi sociali. Il convenuto si è limitato ad affermare che i __________ lo avrebbero tenuto all'oscuro delle difficoltà della società, sottacendogli la reale situazione di crisi che attraversava la ditta. Essi avrebbero inoltre chiesto delle dilazioni di pagamento senza la sua autorizzazione. L'argomentazione del convenuto non merita tutela, in quanto, come visto in precedenza, l'amministratore unico deve informarsi regolarmente sull'andamento della ditta o perlomeno assicurasi personalmente e puntualmente che i contributi vengano versati alla Cassa e verificare che non ci siano arretrati contributivi. Non è sufficiente affermare di essere stati tenuti all'oscuro di tutto. Essersi fidato della presunta gestione dei __________, senza una regolare ed accurata verifica della situazione finanziaria della ditta, è segno di una grave negligenza dell'amministratore unico. Regolari e accurati controlli gli avrebbero permesso di appurare la precaria situazione finanziaria della società (cfr. STFA non pubblicata dell'8 marzo 2001 nella causa A. C., G. P. e F. F., H 115/00 e H 132/00, consid. 8b). Per quanto concerne l'argomentazione secondo la quale unici responsabili del danno sarebbero stati i coniugi __________, giova ricordare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Se __________ avesse controllato regolarmente la situazione relativa al pagamento dei contributi paritetici, si sarebbe accorto delle difficoltà finanziarie della società e si sarebbe potuto dimettere immediatamente evitando di trovarsi in una simile situazione. Del resto, la passività a dispetto della conoscenza (eventuale) di mancati pagamenti di contributi deve essere considerata un’inosservanza per negligenza grave delle prescrizioni (RCC 1989 pag. 115).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Queste omissioni costituiscono una grave violazione del suo dovere di diligenza (cfr. RCC 1992, pag. 269), doveri che risultano accresciuti quando si tratti, come in concreto, di un amministratore unico ( STFA non pubblicata del 5 aprile 2001, nella causa A., H 436/00, consid. 3b; DTF 112 V 3 consid. 2b; cfr. anche DTF 122 III 198 consid. 3a). 2.10.   In concreto il convenuto è entrato a far parte del CdA nel maggio del 1998. Ora, al momento della sua entrata in seno al CdA, la ditta vantava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responabili per il danno verificatosi precedentemente all'assunzione della funzione di organo (cfr. SVR 1996 EVG Nr. 98, pag. 301; DTF 119 V 407 consid. 4c; RCC 1992, pag 269). La fattispecie che ci occupa non è tuttavia comparabile a quella appena descritta. Infatti nel periodo anteriore il 1998 non si era ancora verificato un danno ai sensi dell'art. 52 LAVS, poiché la ditta non era ancora insolvibile, o gravemente indebitata, al momento dell'assunzione della carica di amministratore da parte di __________. (cfr. _). 2.11.   Infine, per quanto riguarda la richiesta di assunzione di prove fatta dal convenuto,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