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31.2001.31 vom 19. Februar 2002</w:t>
      </w:r>
    </w:p>
    <w:p>
      <w:r>
        <w:t>TI Tribunale d'appello, 2002-02-19, IT</w:t>
      </w:r>
    </w:p>
    <w:p>
      <w:r>
        <w:rPr>
          <w:b/>
        </w:rPr>
        <w:t xml:space="preserve">Quelle: </w:t>
      </w:r>
      <w:r>
        <w:t>https://mcp.opencaselaw.ch/entscheid/ti_gerichte_31.2001.31</w:t>
      </w:r>
    </w:p>
    <w:p>
      <w:r>
        <w:t>FR: TI_GERICHTE 31.2001.31 du 19 février 2002</w:t>
      </w:r>
    </w:p>
    <w:p>
      <w:r>
        <w:t>IT: TI_GERICHTE 31.2001.31 del 19 febbraio 2002</w:t>
      </w:r>
    </w:p>
    <w:p>
      <w:pPr>
        <w:pStyle w:val="Heading2"/>
      </w:pPr>
      <w:r>
        <w:t>Regeste</w:t>
      </w:r>
    </w:p>
    <w:p>
      <w:r>
        <w:t>Sentenza o decisione senza scheda</w:t>
      </w:r>
    </w:p>
    <w:p>
      <w:pPr>
        <w:pStyle w:val="Heading2"/>
      </w:pPr>
      <w:r>
        <w:t>Erwägungen</w:t>
      </w:r>
    </w:p>
    <w:p>
      <w:r>
        <w:rPr>
          <w:b/>
        </w:rPr>
        <w:t>E. 10</w:t>
      </w:r>
    </w:p>
    <w:p>
      <w:r>
        <w:t>agosto 2000 e 18 ottobre 2000 l'UF di __________ ha rilasciato 5 attestati di carenza beni per un totale di fr. 22'870.30 (cfr. doc. _). Con decreti del 12 dicembre 2000 e 18 aprile 2001, la Pretura del Distretto di __________ ha dichiarato l'apertura del fallimento e la sospensione della procedura per mancanza di attivi ai sensi dell'art. 230 LEF (FUSC del __________ 2001). Come abbiamo visto nel considerando precedente, in un’esecuzione per via di pignoramento la conoscenza del danno coincide con la notifica dell’attestato di carenza beni ai sensi dell’art. 115 cpv. 1, in relazione con l’art. 149 LEF, e questo anche nell’ipotesi in cui il datore di lavoro è una persona giuridica non ancora sciolta per fallimento. Da quel momento decorre il termine di perenzione di un anno (DTF 113 V 257s = RCC 1988 pag. 136; RCC 1991 pag. 132; Nussbaumer, Les caisses de compensation en tant que parties à une procédure de réparation d’un dommage selon l’art. 52 LAVS in RCC 1991 pag. 405 in fine). Quindi il momento della “conoscenza del danno” può avvenire precedentemente al fallimento, ossia in caso di rilascio di un attestato di carenza beni durante un’esecuzione in via di pignoramento. Questo TCA dopo aver effettuato gli accertamenti del caso (cfr. doc. _), può affermare con certezza che il primo attestato di carenza beni è pervenuto alla Cassa dopo il 16 agosto 2000 (cfr. doc. _). Essendo la decisone di risarcimento del 16 giugno 2001, il credito risarcitorio non é perento.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2.6.   Per ciò che attiene all'importo del danno, il legale dell'assicurata in sede di risposta ha sostenuto che: "(…) In via subordinata, si rileva che il 10 luglio 1999 diveniva esigibile il pagamento del secondo trimestre dell'anno 1999. Se l'assemblea generale degli azionisti avesse dunque ratificato le dimissioni della convenuta al più tardi a quella data, si dovrebbe comunque ridurre la pretesa della Cassa di fr. 3'294.60 (…) (cfr doc. _).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Con scritto del 28 novembre 2001 la Cassa ha ridotto l'importo del contendere motivando: " Alla luce della documentazione inviatami in data odierna, con particolare riferimento alle dimissioni della signora __________ dalla carica di amministratrice unica della società citata le comunichiamo che le osservazioni formulate dalla controparte a pag. 2 cpv. 1 della risposta alla nostra petizione sono pertinenti. Di conseguenza, la pretesa avanzata dalla Cassa in sede risarcitoria deve essere modificata da Fr. 24'295.35 a Fr. 21'046.75, venendo a cadere l'esigibilità dei contributi relativi al 2. trimestre 1999 di Fr. 3'248.60, come al seguente dettaglio: Contributi AVS/AI/IPG                                            Fr.            12'676.00 Contributi disoccupazione                                     Fr.              3'765.15 Contributi Assegni Familiari                                  Fr.              2'580.15 Spese d'amministrazione                                     Fr.                370.95 Spese intimazione, tassazioni d'ufficio                 Fr.                730.00 Spese esecutive                                                    Fr.                724.30 Interessi di mora                                                    Fr.                200.20 Totale contributi scoperti                                       Fr.            21'046.75 (cfr. doc. _) Ne consegue che l'importo del danno è da ridurre a fr. 21'046.75.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In concreto __________, non ha invocato alcunché a propria discolpa, dichiarandosi implicitamente responsabile del danno per la parte da lei riconosciuta.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