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31.2001.22 vom 11. Februar 2002</w:t>
      </w:r>
    </w:p>
    <w:p>
      <w:r>
        <w:t>TI Tribunale d'appello, 2002-02-11, IT</w:t>
      </w:r>
    </w:p>
    <w:p>
      <w:r>
        <w:rPr>
          <w:b/>
        </w:rPr>
        <w:t xml:space="preserve">Quelle: </w:t>
      </w:r>
      <w:r>
        <w:t>https://mcp.opencaselaw.ch/entscheid/ti_gerichte_31.2001.22</w:t>
      </w:r>
    </w:p>
    <w:p>
      <w:r>
        <w:t>FR: TI_GERICHTE 31.2001.22 du 11 février 2002</w:t>
      </w:r>
    </w:p>
    <w:p>
      <w:r>
        <w:t>IT: TI_GERICHTE 31.2001.22 del 11 febbraio 2002</w:t>
      </w:r>
    </w:p>
    <w:p>
      <w:pPr>
        <w:pStyle w:val="Heading2"/>
      </w:pPr>
      <w:r>
        <w:t>Regeste</w:t>
      </w:r>
    </w:p>
    <w:p>
      <w:r>
        <w:t>Sentenza o decisione senza scheda</w:t>
      </w:r>
    </w:p>
    <w:p>
      <w:pPr>
        <w:pStyle w:val="Heading2"/>
      </w:pPr>
      <w:r>
        <w:t>Erwägungen</w:t>
      </w:r>
    </w:p>
    <w:p>
      <w:r>
        <w:rPr>
          <w:b/>
        </w:rPr>
        <w:t>E. 4</w:t>
      </w:r>
    </w:p>
    <w:p>
      <w:r>
        <w:t>Dans le cas d'une société à responsabilité limitée, la position d'associé simple, ainsi que l'a fait valoir l'instance cantonale, n'entraîne pas à elle seule des obligations de contrôle ou de surveillance. Ceci résulte de l'art. 819 al. 1 CO qui ne prévoit pour l'associé non gérant qu'un droit de regard (voir JanggenlBecker, Berner Kommentar, N 28 sur l'art. 819 CO ; Amstutz , Basler Kommentar, N 1 et 7 sur l'art. 819 OR; Handschin, Die GmbH, Zurich 1996, § 19 N 7; Wohlmann, Die GmbH, SPR VIII/2 p. 427 s., p. 430; id., GmbH‑Recht, Bâle 1997, p. 119, p. 124).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Il 196 consid. 3a, 244 consid. 5a, 125 V 130 consid. 5, avec renvois). Dans la mesure où la caisse, dans le contexte de l'article 814 al. 1 CO désire en tirer d'autres conclusions, ceci n'est pas admissible car la disposition ne concerne que le droit de représentation des gérants. En conséquence, si un associé non gérant ne contrôle pas le respect par l'entreprise de ses obligations de décompte et de paiement des cotisations relevant du droit des assurances sociales (art. 14 al. 1 LAVS, art. 34 ss RAVS), il ne saurait être rendu responsable par la caisse du dommage résultant du non-paiement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SàrI une position correspondant à celle d'un gérant, il est alors soumis à des obligations plus étendues (pour plus de détails à ce sujet, voir: AmstutzlWatter, BasIer Kommentar, N 16 sur l'art. 811 CO avec renvoi à N 3 ss sur l'art. 717 CO; Steiger, Zürcher Kommentar, N 33 sur l'art. 811 OR; Handschin, loc. cit., § 19 N 40 ss; Wohl mann, Die GmbH, SPR VIII/2 S. 419 ss; id., GmbH‑Recht, Bâle 1997, p. 112 ss) dont le non‑respect peut engager sa responsabilité (art. 827 en relation avec l'art. 754 CO).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11711441 consid. 2,571 consid. 3,114 V 78 = RCC 1988 p. 631, ATF 114 V 213 = RCC 1989 p. 176). En font typiquement partie les personnes qui, de par la force de leur position (associé majoritaire par exemple), donnent au gérant formel des instructions sur la conduite des affaires de la société. (…)" Pertanto, come rettamente osservato dalla Cassa, nell'ambito della responsabilità ex art. 52 LAVS, il convenuto, socio gerente della __________ Sagl, deve essere parificato ad un amministratore di una società anonima (concetto nuovamente ribadito in STFA del 21 giugno 2001 nella causa J e V, H20/01, consid. 2). 2.9.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__________ ha ricoperto la carica di socio gerente dalla costituzione della società sino al fallimento, con diritto di firma individuale (cfr. doc. _). Innanzitutto va precisato che, secondo costante giurisprudenza (cfr. STCA 14 giugno 1995 nella causa C.; __________), la responsabilità del datore di lavoro ai sensi dell'art. 52 LAVS non è in relazione alla gestione della società per se stessa, né a eventuali cause di un fallimento. 2.10.1.   In concreto __________, ha asserito che la responsabilità del mancato pagamento del debito contributivo è dovuto alla grave inadempienza di alcuni debitori a loro volta falliti. In concreto va analizzato se i motivi invocati dal convenuto sono idonei ad escludere una violazione intenzionale o per negligenza grave delle prescrizioni conformemente a quanto stabilito dalla giurisprudenza federale (cfr. consid. 2.7). Si tratta quindi di stabilire se quella della ditta __________ Sagl è stata una crisi passeggera di qualche mese, e se il convenuto ha reso verosimile che vi erano dei seri e oggettivi motivi per presumere che i contributi potessero essere versati entro breve termine. Il Tribunale federale delle assicurazioni ha precisato che la ditta che attraversa una fase difficile e fonda la sua esistenza su equilibri delicati deve prendere delle misure drastiche e immediate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1996 la società è stata in mora col pagamento dei contributi, ciò che ha costretto la Cassa a diffidarla dal mese di aprile 1996 ed a precettarla a partire dal mese di luglio 1997 (cfr. doc. _). Dagli atti risulta tuttavia che l'eluso versamento non può dirsi dovuto a difficoltà momentanee. La Cassa ha dovuto inviare diffide alla società e anche intraprendere procedure esecutive per l'incasso dei contributi sin dal 1997. Finché, alla fine, vi è stato lo scoperto già indicato, risultato irrecuperabile. Come visto in precedenza la ditta è stata in mora con il pagamento dei contributi sin dal mese di aprile 1996 (fatto non contestato dal convenuto), ciò che non consente di ammettere un valido motivo di giustificazione previsto eccezionalmente dalla succitata giurisprudenza del TFA (cfr. consid. 2.7; DTF 121 V 243). Inoltre il vuoto contributivo comprende un periodo troppo lungo per ammettere qualsiasi tipo di giustificazione (dal 1997 al 1999). Nella appena citata sentenza del TFA il buco contributivo si riferiva solo a tre mesi. Inoltre va rilevato che nella citata sentenza del TFA, la ditta aveva cessato immediatamente la propria attività senza tentare la via del concordato, dando prova della volontà di limitare al massimo i danni causati alla Cassa. Ora non si può addebitare l'intera responsabilità delle difficoltà aziendali al mancato pagamento da parte di alcuni importanti clienti. Le difficoltà della ditta erano strutturali. Il fatto di continuare l'attività nonostante l'evidente grave difficoltà della società, conferma la tesi secondo la quale l'attività aziendale da sola non poteva riparare le perdite aziendali e permettere di saldare i debiti contributivi arretrati. Ne è la prova l'ingente debito accumulato nei confronti della Cassa ed il lungo vuoto contributivo. Vista la notoria crisi del settore edile (uno degli scopi sociali era proprio l'attività edilizia, cfr. doc. _), a __________ non poteva sfuggire che la situazione finanziaria della ditta era tale da compromettere il versamento dei contributi (cfr.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Ancora recentemente il TFA si è pronunciato su un caso simile a quello in esame (STFA del 15 giugno 2001 nella causa A., H 29/01, consid 4d):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Ora, l'avere procrastinato costantemente il pagamento dei contributi paritetici e averlo irrimediabilmente differito, è segno di una negligenza non indifferente del datore di lavoro e fa sorgere la responsabilità del socio gerente di una Sagl cui incombe per legge la massima vigilanza nella conduzione e nel controllo della società. Questa omissione costituisce una grave violazione del suo dovere di diligenza (cfr. RCC 1992, pag. 269). In casu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