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31.2001.19 vom 7. Januar 2002</w:t>
      </w:r>
    </w:p>
    <w:p>
      <w:r>
        <w:t>TI Tribunale d'appello, 2002-01-07, IT</w:t>
      </w:r>
    </w:p>
    <w:p>
      <w:r>
        <w:rPr>
          <w:b/>
        </w:rPr>
        <w:t xml:space="preserve">Quelle: </w:t>
      </w:r>
      <w:r>
        <w:t>https://mcp.opencaselaw.ch/entscheid/ti_gerichte_31.2001.19</w:t>
      </w:r>
    </w:p>
    <w:p>
      <w:r>
        <w:t>FR: TI_GERICHTE 31.2001.19 du 7 janvier 2002</w:t>
      </w:r>
    </w:p>
    <w:p>
      <w:r>
        <w:t>IT: TI_GERICHTE 31.2001.19 del 7 gennaio 2002</w:t>
      </w:r>
    </w:p>
    <w:p>
      <w:pPr>
        <w:pStyle w:val="Heading2"/>
      </w:pPr>
      <w:r>
        <w:t>Regeste</w:t>
      </w:r>
    </w:p>
    <w:p>
      <w:r>
        <w:t>Sentenza o decisione senza scheda</w:t>
      </w:r>
    </w:p>
    <w:p>
      <w:pPr>
        <w:pStyle w:val="Heading2"/>
      </w:pPr>
      <w:r>
        <w:t>Erwägungen</w:t>
      </w:r>
    </w:p>
    <w:p>
      <w:r>
        <w:rPr>
          <w:b/>
        </w:rPr>
        <w:t>E. 25</w:t>
      </w:r>
    </w:p>
    <w:p>
      <w:r>
        <w:t>giugno 2001 ha stilato un rapporto supplementare del tenore seguente: " A seguito dell'opposizione inoltrata da __________ contro la decisione dell'IAS inerente i contributi paritetici AVS non pagati per gli anni dal 1995 al 2000 abbiamo provveduto, su vostra richiesta, ad effettuare ulteriori accertamenti che ci hanno portato a confermare il contenuto del precedente rapporto e i dati riportati sulle distinte salari relative agli anni dal 1997 al 16.02.2000. Come risulta dalla documentazione allegata il sig. __________ è sempre stato notificato sulle dichiarazioni salariali AVS, LPP e LAINF. Allo stesso sono pure stati rilasciati i relativi certificati di salario per l'allestimento delle dichiarazioni fiscali. Tutta questa documentazione è stata redatta e sottoscritta dalla __________. Osserviamo, per terminare, che al momento dell'interrogatorio (cfr. verbale) il sig. __________ non ha dichiarato l'esistenza della ditta in Italia." (cfr. doc. _) Il convenuto dal canto suo non ha fornito prova alcuna dell'esistenza di una filiale in Italia e nemmeno ne ha riferito all'ufficiale l'esistenza (cfr. doc. _). Le distinte salari del 1997 e del 1998, stilate dallo stesso convenuto, menzionano espressamente il signor __________ (cfr. doc. _). Pure i certificati di salario 1997/1998, sempre stilati dal convenuto, confermano l'impiego della sopracitata persona (cfr. doc. _). In conclusione, la massa salariale degli anni dal 1995 al 2000, evincibile dai conteggi elaborati dalla Cassa sulla base dei quaderni salariali (cfr. doc. _), è corretta. 2.5.2.   Per quanto attiene alla questione degli assegni familiari del 1998, 1999 e 2000, il convenuto sostiene che questi non gli sarebbero stati riconosciuti perché cancellati d'ufficio dalla cassa. Ora, per quel che concerne l'inclusione nel danno dei contributi del datore di lavoro dovuti in base alla legge cantonale sugli assegni di famiglia (LAF) dell'11 giugno 1996 (RL 6.4.1.1.), va rilevato che con sentenza inedita dell'11 luglio 1985 nella causa S.B. e G.G. (inc. AVS 72/85 e 73/85 citata in Trisconi Rossetti, op. cit, pag. 370) il TCA ha ammesso l'applicazione analogica dell'art. 52 LAVS in virtù dell'art. 49 LAF del 24 settembre 1959 che, prevedeva un rinvio alla LAVS per tutte le questioni non previste nella citata legge cantonale. Questa disposizione è stata ripresa all'art. 47 della LAF dell'11 giugno 1996, che ha il seguente tenore: " Per quanto non previsto dalla legge, sono applicabili le disposizioni della legge federale sull'assicurazione per la vecchiaia ed i superstiti e la legislazione sulle prestazioni complementari all'AVS/AI)." Quindi la Cassa è in diritto di includere tali contributi nell'azione di risarcimento danni ex art. 52 LAVS. Comunque, come già sottolineato dal TCA in una sentenza del 26 marzo 2001 nella causa F. consid. 2.11. (Inc. __________), per fare maggiore chiarezza su questo punto è auspicabile che in occasione dell'imminente prima revisione della LAF venga introdotta nella legge cantonale sugli assegni di famiglia una norma che rinvii esplicitamente all'art. 52 LAVS. Questa soluzione si giustifica tanto più in considerazione dal fatto che un rinvio generico, come quello previsto dall'art. 47 LAF, è stato oggetto di critiche e di interpretazioni divergenti da parte della dottrina e della giurisprudenza cantonale (cfr. Kieser, op. cit, pag. 658, Kieser, Streifzug durch das Familienrecht, SZS 1995 pag. 281s; SVR 1995 AHV Nr. 45 consid. 6 pag. 127, confermato in SVR 1997 AHV Nr. 128 consid. 5a pag. 389; UFAS, "Leggi cantonali sugli assegni famigliari". La giurisprudenza delle autorità cantonali di ricorso dal 1995 al 1997, Berna 1999, pag. 99-104). Nella fattispecie il convenuto si limita a contestare in modo generico il credito risarcitorio della Cassa senza minimamente indicare in cosa la Cassa avrebbe sbagliato, contravvenendo quindi all'obbligo di collaborazione sancito dalla giurisprudenza (RCC 1991 pag. 133, consid. II/1b). Da una verifica operata dalla Cassa presso il competente Servizio degli assegni familiari, è emerso che il mancato riconoscimento degli assegni familiari per il 1998 è dovuto all'omissione da parte della società dell'inoltro del formulario per la richiesta per assegni di famiglia (cfr. doc. _). Per quanto riguarda il 1999 e il 2000 la società non ha dichiarato sulle distinte dei salari il versamento anticipato di assegni familiari (cfr. doc. _). In conclusione, questo TCA, dopo attento esame dell'incarto, ritiene che la calcolazione eseguita dalla Cassa è corretta. Riassumendo quindi la Cassa è legittimata a far valere fr. 40'291.95 ai sensi dell'art. 52 LAVS.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Nell'evenienza concreta, va innanzitutto precisato che organi formali della Sagl sono i soci gerenti, a cui competono compiti analoghi a quelli dei membri del consiglio di amministrazione della SA (art. 808s. CO; Meyer-Hayoz/P. Forstmoser, Grundriss des Gesellschaftsrechts, Zurigo 1993, p. 354; P. Montavon, Droit et pratique de la SARL, Lausanne 1996, p. 279, 281; M. Knus, Die Schadenersatzpflicht, des Arbeitgebers in der AHV, Winterthur 1989, p. 15; cfr. inc. 31.1997.00056). In una recente sentenza pubblicata in Pratique VSI 5/2000, pag. 226-229 (= DTF 126 V 238, consid. 4), il TFA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consid. 3a, 244 consid. 5a, 125 V 130 consid.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consid. 2,571 consid.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il convenuto, socio gerente della __________ Sagl, deve essere parificato ad un amministratore di una società anonima (concetto nuovamente ribadito in STFA del 21 giugno 2001 nella causa J e V, H20/01, consid. 2). 2.9.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2.10.   __________ ha ricoperto la carica di socio gerente dalla costituzione della società sino al fallimento, con diritto di firma individuale (cfr. doc. _). Innanzitutto va precisato che, secondo costante giurisprudenza (cfr. STCA 14 giugno 1995 nella causa C.; __________), la responsabilità del datore di lavoro ai sensi dell'art. 52 LAVS non è in relazione alla gestione della società per se stessa, né a eventuali cause di un fallimento. 2.10.1.   In concreto __________, ha asserito di aver fatto il possibile per salvare la ditta, senza tuttavia esserci riuscito. In concreto va analizzato se i motivi invocati dal convenuto sono idonei ad escludere una violazione intenzionale o per negligenza grave delle prescrizioni conformemente a quanto stabilito dalla giurisprudenza federale (cfr. consid. 2.7). Si tratta quindi di stabilire se quella della ditta __________ Sagl è stata una crisi passeggera di qualche mese, e se il convenuto ha reso verosimile che vi erano dei seri e oggettivi motivi per presumere che i contributi potessero essere versati entro breve termine.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1996 la società è stata in mora col pagamento dei contributi, ciò che ha costretto la Cassa a diffidarla dal mese di agosto 1996 ed a precettarla a partire dal mese di settembre 1996 (cfr. doc. _). Il convenuto ha dichiarato di aver fatto il possibile per salvare la ditta. Egli è stato quindi costretto ad immettere nella società capitali del suo patrimonio personale. Dagli atti risulta tuttavia che, l'eluso versamento non può dirsi dovuto a difficoltà momentanee. La Cassa ha dovuto inviare diffide alla società e anche intraprendere procedure esecutive per l'incasso dei contributi sin dal 1996. Finché, alla fine, vi è stato lo scoperto già indicato, risultato irrecuperabile. Come visto in precedenza la ditta è stata in mora con il pagamento dei contributi sin dal mese di agosto 1996, ciò che non consente di ammettere un valido motivo di giustificazione previsto eccezionalmente dalla succitata giurisprudenza del TFA (cfr. consid. 2.7; DTF 121 V 243). Inoltre il vuoto contributivo comprende un periodo troppo lungo per ammettere qualsiasi tipo di giustificazione (dal 1995 al 2000). Nella appena citata sentenza del TFA il buco contributivo si riferiva solo a tre mesi. Inoltre va rilevato che nella citata sentenza del TFA, la ditta aveva cessato immediatamente la propria attività senza tentare la via del concordato, dando prova della volontà di limitare al massimo i danni causati alla Cassa. Anche se in casu si ammettesse che la ditta ha cercato di limitare i danni e tentato di salvarsi soprattutto con l'apporto di capitali da parte del convenuto, tutto ciò non sarebbe comunque sufficiente per esonerare __________ da ogni responsabilità ex art. 52 LAVS. Il fatto di continuare l'attività nonostante l'evidente grave difficoltà della società, conferma la tesi secondo la quale l'attività aziendale da sola non poteva riparare le perdite aziendali e permettere di saldare i debiti contributivi arretrati. Ne è la prova l'ingente debito accumulato nei confronti della Cassa ed il lungo vuoto contributivo. Quindi, gli sforzi del convenuto e della società non modificano la situazione secondo cui la ditta era in difficoltà da ormai troppo tempo per ammettere un qualsiasi motivo di discolpa (cfr. consid. 2.7.). Vista la notoria crisi del settore edile, ad __________ non poteva sfuggire che la situazione finanziaria della ditta era tale da compromettere il versamento dei contributi (cfr.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Ancora recentemente il TFA si è pronunciato su un caso simile a quello in esame (STFA del 15 giugno 2001 nella causa A., H 29/01, consid 4d):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Ora, l'avere procrastinato costantemente il pagamento dei contributi paritetici e averlo irrimediabilmente differito, è segno di una negligenza non indifferente del datore di lavoro e fa sorgere la responsabilità del socio gerente di una Sagl cui incombe per legge la massima vigilanza nella conduzione e nel controllo della società. Questa omissione costituisce una grave violazione del suo dovere di diligenza (cfr. RCC 1992, pag. 269). In casu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dovrà risarcire il danno subito dalla Cassa per il mancato versamento dei contributi da parte della __________ Sagl e questo anche se egli ha investito capitali nella società. Infatti, secondo il TFA, il fatto che il convenuto abbia investito nella ditta, a fondo perso, ingenti somme provenienti dal suo patrimonio privato, nulla cambia nella sostanza, allorquando la sua responsabilità ex art. 52 LAVS sia stata appurata (cfr. STFA del 31 agosto 2001 nella causa B., H 446/00, consid. 4b; STFA del 29 febbraio 1992 nella causa J., W. e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