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31.2001.10 vom 24. Oktober 2001</w:t>
      </w:r>
    </w:p>
    <w:p>
      <w:r>
        <w:t>TI Tribunale d'appello, 2001-10-24, IT</w:t>
      </w:r>
    </w:p>
    <w:p>
      <w:r>
        <w:rPr>
          <w:b/>
        </w:rPr>
        <w:t xml:space="preserve">Quelle: </w:t>
      </w:r>
      <w:r>
        <w:t>https://mcp.opencaselaw.ch/entscheid/ti_gerichte_31.2001.10</w:t>
      </w:r>
    </w:p>
    <w:p>
      <w:r>
        <w:t>FR: TI_GERICHTE 31.2001.10 du 24 octobre 2001</w:t>
      </w:r>
    </w:p>
    <w:p>
      <w:r>
        <w:t>IT: TI_GERICHTE 31.2001.10 del 24 ottobre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29</w:t>
      </w:r>
    </w:p>
    <w:p>
      <w:r>
        <w:t>cpv. 2 CF (DTF 122 V 162 consid. 1d, 119 V 344 consid. 3c con riferimenti). Nel caso in esame, la documentazione acquisita agli atti è sufficiente per statuire in merito alla presente vertenza, per cui il TCA non ritiene necessario assumere altre prove. In particolare non è necessario richiamare l'Inc. no __________ dalla Pretura di __________, in quanto irrilevante ai fini del presente giudizio. Se la vertenza contro la __________ dovesse avere buon esito, a beneficiarne sarebbe sicuramente il convenuto, che avrebbe così a disposizione il denaro per saldare il debito contributivo. Non è nemmeno necessario sentire il teste __________, in quanto l'eventuale dimostrazione dell'interessamento da parte di terze persone all'acquisto del fondo in Via __________, non muterebbe l'esito del presente giudizio ritenuto che, come visto, la ditta da ormai troppo tempo non navigava in buone acque e non pagava i contributi paritetici (cfr. consid. 2.7.1)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