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31.2000.8 vom 17. April 2001</w:t>
      </w:r>
    </w:p>
    <w:p>
      <w:r>
        <w:t>TI Tribunale d'appello, 2001-04-17, IT</w:t>
      </w:r>
    </w:p>
    <w:p>
      <w:r>
        <w:rPr>
          <w:b/>
        </w:rPr>
        <w:t xml:space="preserve">Quelle: </w:t>
      </w:r>
      <w:r>
        <w:t>https://mcp.opencaselaw.ch/entscheid/ti_gerichte_31.2000.8</w:t>
      </w:r>
    </w:p>
    <w:p>
      <w:r>
        <w:t>FR: TI_GERICHTE 31.2000.8 du 17 avril 2001</w:t>
      </w:r>
    </w:p>
    <w:p>
      <w:r>
        <w:t>IT: TI_GERICHTE 31.2000.8 del 17 aprile 2001</w:t>
      </w:r>
    </w:p>
    <w:p>
      <w:pPr>
        <w:pStyle w:val="Heading2"/>
      </w:pPr>
      <w:r>
        <w:t>Regeste</w:t>
      </w:r>
    </w:p>
    <w:p>
      <w:r>
        <w:t>Sentenza o decisione senza scheda</w:t>
      </w:r>
    </w:p>
    <w:p>
      <w:pPr>
        <w:pStyle w:val="Heading2"/>
      </w:pPr>
      <w:r>
        <w:t>Erwägungen</w:t>
      </w:r>
    </w:p>
    <w:p>
      <w:r>
        <w:rPr>
          <w:b/>
        </w:rPr>
        <w:t>E. 45</w:t>
      </w:r>
    </w:p>
    <w:p>
      <w:r>
        <w:t>consid. 6 pag. 127, confermato in SVR 1997 AHV Nr. 128 consid. 5a pag. 389; UFAS, "Leggi cantonali sugli assegni famigliari". La giurisprudenza delle autorità cantonali di ricorso dal 1995 al 1997, Berna 1999, pag. 99-104). Riassumendo, questo TCA, dopo attento esame dell'incarto, ritiene che la calcolazione eseguita dal convenuto è corretta, del resto la stessa è stata accettata dalla Cassa. Quindi l'importo scoperto dei contributi risulta essere di fr. 7'722.45 (cfr. doc. _ e _). 2.5.   Il convenuto sostiene inoltre che le spese per le diffide, le esecuzioni, ecc., non sarebbero giustificate. Come abbiamo visto al considerando 2.3.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le spese esecutive e gli interessi moratori (cfr. la giurisprudenza citata in Trisconi-Rossetti, L’azione di risarcimento danni della Cassa di compensazione AVS/AI/IPG nei confronti del datore di lavoro ex art. 52 LAVS, RDAT II 1995 pag. 369 s), per cui la censura del convenuto non ha nessuna ragione di essere.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Il convenuto contesta l'addebito di grave negligenza, in quanto sarebbe stato incapace di seguire la sua normale attività lavorativa a causa del suo grave stato di salute. Questa circostanza, complice anche la crisi che ha attraversato la ditta, avrebbe portato al fallimento la società. In passato il TCA ha già avuto occasione di considerare giustificato il mancato pagamento dei contributi, se è dovuto a grave malattia del presidente del CdA, che aveva praticamene condotto alla rovina la ditta, poiché gli altri amministratori non erano in grado di continuare gli affari, viste le particolari conoscenze richieste (STCA 7 novembre 1990 in causa V.P., L.R., E.G., O.R.; STCA 8 luglio 1991 in causa L.B. e D.T.). Inoltre, non è stato ritenuto responsabile l'amministratore, che a seguito di invalidità, non era più in grado di seguire gli affari della società, per il danno insorto dopo l'evento invalidante (STCA 26 novembre 1991 in causa M.C.; STCA 9 marzo 1993 in causa J.E., J.E., K.O., F.G., L.F., V.R. e V.A., consid. 2.6). Infine il TCA ha ribadito che la persona totalmente invalida per motivi psichici che viene indotta da terze persone ad assumere la carica di amministratore unico di una società che egli non è in grado di gestire a cagione del suo stato di salute non può essere reso responsabile del mancato pagamento dei contributi (STCA del 4 maggio 1995 in causa P.P.). A proposito di un amministratore unico con problemi di salute, in una sentenza del TFA non pubblicata del 16 aprile 1998 nella causa O.G., H 193/96 Ws, l'Alta Corte ha negato quale motivo di discolpa lo stato di salute del convenuto, motivando: " (…) c) Il ricorrente giustifica inoltre il mancato pagamento dei contributi con motivi di salute, riferiti al periodo tra il 1989 e il 1993. A sostegno del suo assunto, produce un certificato medico 31 luglio 1996 del dott. G. di Lugano, dal quale si evince che ha subito una operazione di by‑pass nel giugno 1990 e che era affetto da diabete di difficile controllo. Questi motivi non possono essere fatti valere quale esimente ex art. 52 LAVS. L'amministratore unico di una società deve infatti preoccuparsi di affidarla, in sua assenza, ad una persona competente nella gestione e non può limitarsi ad assumere un atteggiamento passivo. Si noti poi che nel 1990 O. G. ha incassato da diverse assicurazioni un importo fatto successivamente affluire alla società, che nel 1991 ha acceso un prestito ipotecario presso la Banca R. di R. e che nel 1993 ha pure versato un'ulteriore somma alla A. G. SA. Trattasi di atti concludenti che dimostrano come l'interessato, malgrado avesse qualche problema di salute, si sia sempre attivamente occupato della società, ricordato comunque che ‑ ove fosse stato realmente incapace di determinarsi come si richiede a un amministratore unico - sarebbe stato suo preciso dovere dimettersi dalla carica. Il ricorrente ha quindi mancato al dovere di diligenza che si deve esigere, in materia di gestione, da un datore di lavoro della stessa categoria di quella a cui appartiene l'interessato (DTF 112 V 159 consid. 4 e riferimenti), peraltro molto addentro nell'ambito delle imprese di costruzione, ritenuto che operava nella società già dal 1971 e che avrebbe dovuto sapere, perché fatto notorio, che in tempi di grave crisi nel settore immobiliare possono insorgere complicanze al momento dell'incasso dei crediti. Nemmeno la circostanza che O. G. abbia profuso mezzi liquidi nella ditta ‑ in misura comunque inferiore alle sue capacità, come dimostra la donazione ai figli di un bene immobile del valore di fr. 180 000.‑ ‑ è sufficiente a sanare la grave negligenza. Infatti non è accertato che la scelta di differire il pagamento dei contributi paritetici fosse obiettivamente indispensabile per la sopravvivenza della società. Neppure è assodato che il datore di lavoro potesse oggettivamente presumere di soddisfare entro breve termine la Cassa riguardo a ogni suo credito (DTF 108 V 188), visto che già dal 1990 sapeva che vi sarebbero stati problemi d'incasso riferiti alla S. SA, già G.C.T. SA. L'organo, secondo la giurisprudenza, deve prestare particolare attenzione nel caso in cui sia a conoscenza del fatto che la ditta sta attraversando una crisi finanziaria. In questo contesto il solo fatto che egli abbia investito nell'impresa, a fondo perso, ingenti somme provenienti dal suo patrimonio privato, nulla cambia, allorquando la sua responsabilità secondo l'art. 52 LAVS sia stata appurata (sentenza inedita 19 febbraio 1992 in re V., J., W. e T., H 62/91). Va ancora ricordato al ricorrente che il dovere di diligenza risulta accresciuto quando si tratta di un amministratore unico, ritenuto che quest'ultimo deve dar prova di tutta la diligenza necessaria alla corretta gestione degli affari sociali e che non' è sufficiente l'ossequio della "diligentia quam in suis" (DTF 122 111 198 e riferimenti). Al riguardo il Tribunale federale delle assicurazioni ha già avuto modo di affermare che gli obblighi di vigilanza e di diligenza di un amministratore unico sono da connotare con particolare rigore (DTF 112 V 3 consid. 2b), tanto più quando, in mancanza di delega durante un periodo di malattia, lo stesso amministratore se ne è occupato in prima persona. Ne consegue che O. G. dovrà pertanto risarcire il danno subito dalla Cassa." Nella fattispecie il convenuto afferma di aver avuto un ictus con conseguente paresi nel maggio del 1999 (cfr. doc. _). Agli atti è stato prodotto un certificato medico che attesta quanto sostenuto dal convenuto senza tuttavia nessun riferimento al suo stato di salute nel 1998, soprattutto per il periodo in cui i contributi non sono stati pagati (marzo 1998-agosto 1998). Visto che il certificato medico del dottor __________ attesta l'insorgenza della paresi nel maggio del 1999, un'eventuale incapacità lavorativa sarebbe eventualmente subentrata solo a partire da questa data (cfr. doc. _ e allegato 1, Inc. __________). Per cui la circostanza addotta da __________ non può assurgere a motivo di giustificazione essendo i contributi scoperti relativi al 1998. 2.10.   Per quello che concerne l'asserita crisi attraversata dalla società va osservato quanto segue. Innanzitutto secondo costante giurisprudenza (cfr. STCA 14 giugno 1995 nella causa G.C.; inc. __________) la responsabilità del datore di lavoro ai sensi dell'art. 52 LAVS non è in relazione alla gestione della società per sé stessa, né a eventuali cause di un fallimento. La Cassa ha iniziato a diffidare e poi a precettare la società sin dall'inizio dell'affiliazione. La società infatti non ha pagato nessun contributo per tutto il periodo in cui è restata affiliata alla Cassa. Per cui non si vede come si possa giustificare il mancato pagamento con l'asserita precaria situazione finanziaria, che non è del resto stata minimamente motivata né documentata. D'altronde anche se quest'eventualità si fosse presentata, ciò non impediva al convenuto di prendere delle decisioni importanti, quali ad esempio quelle offerte dall'art. 725 CO o rassegnare le proprie dimissioni. In tal senso il TFA ha precisato che la ditta che attraversa una fase difficile e fonda la sua esistenza su equilibri delicati deve prendere delle misure drastiche e immediate (STFA non pubblicata del 7 maggio 1997 nella causa M.V., H 336/95, consid. 3d). In un'altra sentenza il TFA ha ribadito che l’organo della società deve prestare particolare attenzione nell'ipotesi in cui è a conoscenza del fatto che la ditta sta attraversando una crisi finanziaria (STFA del 16 aprile 1998 in re O. G. p. 6 e giurisprudenza ivi citata). In queste circostanze dunque il differimento dei pagamenti è stato cronico, per cui, almeno per quanto riguarda i contributi, non doveva trattarsi di una situazione di illiquidità passeggera. Sta di fatto che, secondo la giurisprudenza del TFA, non può essere riconosciuto un motivo di giustificazione se il differimento dei pagamenti dei contributi paritetici era cronico, e anzi tali pagamenti venivano effettuati solo dopo che le procedure esecutive, ripetute e numerose, giungevano a uno stadio avanzato (STFA inedita del 27 giugno 1994 in re M.A.). Nemmeno la circostanza che la società fosse senza liquidità giustifica il procrastinare del pagamento dei contributi se non sono realizzati i chiari criteri posti dalla giurisprudenza federale (STCA 4 maggio 1995 nelle cause M.J., M.M., B.N. e P. L.). In effetti, l'aver lasciato procrastinare costantemente il pagamento dei contributi paritetici e l'averlo lasciato irrimediabilmente differire è segno di una negligenza non indifferente, la quale è suscettibile di fare sorgere la responsabilità dell'amministratore, cui incombe per legge la massima vigilanza nella conduzione e nel controllo della società. Visto quanto precede __________ deve essere reso responsabile del danno cagionato alla Cassa per aver violato i doveri che risultano dalla carica di amministratore di una SA, doveri che risultano accresciuti quando si tratti, come in concreto, di un amministratore unico (DTF 112 V 3 consid. 2b; cfr. anche DTF 122 III 198 consid. 3a) Ne consegue che __________ deve risarcire il danno subito dalla Cassa per i contributi non versati dalla __________. 2.11.   Infine, la situazione economica personale descritta da __________ non è rilevante ai fini della causa poiché non può assurgere a motivo di discolpa. Inoltre, va ricordato che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__________). Comunque alla Cassa rimane il compito di valutare nell'ambito dell'esecuzione del presente giudizio le reali possibilità di incasso (cfr. ZAK 1986 pag. 448).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