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31.2000.35 vom 20. September 2001</w:t>
      </w:r>
    </w:p>
    <w:p>
      <w:r>
        <w:t>TI Tribunale d'appello, 2001-09-20, IT</w:t>
      </w:r>
    </w:p>
    <w:p>
      <w:r>
        <w:rPr>
          <w:b/>
        </w:rPr>
        <w:t xml:space="preserve">Quelle: </w:t>
      </w:r>
      <w:r>
        <w:t>https://mcp.opencaselaw.ch/entscheid/ti_gerichte_31.2000.35</w:t>
      </w:r>
    </w:p>
    <w:p>
      <w:r>
        <w:t>FR: TI_GERICHTE 31.2000.35 du 20 septembre 2001</w:t>
      </w:r>
    </w:p>
    <w:p>
      <w:r>
        <w:t>IT: TI_GERICHTE 31.2000.35 del 20 settembre 2001</w:t>
      </w:r>
    </w:p>
    <w:p>
      <w:pPr>
        <w:pStyle w:val="Heading2"/>
      </w:pPr>
      <w:r>
        <w:t>Regeste</w:t>
      </w:r>
    </w:p>
    <w:p>
      <w:r>
        <w:t>Sentenza o decisione senza scheda</w:t>
      </w:r>
    </w:p>
    <w:p>
      <w:pPr>
        <w:pStyle w:val="Heading2"/>
      </w:pPr>
      <w:r>
        <w:t>Erwägungen</w:t>
      </w:r>
    </w:p>
    <w:p>
      <w:r>
        <w:rPr>
          <w:b/>
        </w:rPr>
        <w:t>E. 19</w:t>
      </w:r>
    </w:p>
    <w:p>
      <w:r>
        <w:t>febbraio 1999 (cfr. scritto 22 febbraio del Pretore di __________). Nell'evenienza concreta, il fallimento è stato aperto con decreto del 3 agosto1999. Pertanto in quel momento il danno è sorto. Tuttavia, è solo con decreto 3 agosto 1999 (FUSC del __________ 1999) che il Pretore ha deciso la sospensione della procedura di fallimento. Secondo la giurisprudenza del TFA, nel caso di una sospensione della procedura fallimentare per mancanza di attivi ex art. 230 LEF, la Cassa ha conoscenza di aver subito un danno con la pubblicazione della sospensione nel Foglio ufficiale svizzero di commercio, per cui da quel momento il termine di un anno per l’esercizio del diritto al risarcimento inizia a decorrere (RCC 1990 pag. 306 consid. 4bb). Tale principio è stato recentemente confermato dal TFA in una recente sentenza del 6 novembre 2000 pubblicata in DTF 126 V 443 ss (anche Pratique VSI 2001 pag. 194 ss): " C) Wird der Konkurs weder im ordentlichen noch im summarischen Verfahren durchgeführt, fallen die zumutbare Kenntnis des Schädens und der Eintritt desselben in der Regel mit der Einstellung des Konkurses mangels Aktiven zusammen, wobei der Publikationszeitpunkt der Konkurseinstellung im Schweizerischen Handelsamtsbaltt (SHAB) massgeblich ist (ZAK 1990 S. 289 Erw. 4b und S. 290 Erw. 4c/bb; NUSSBAUMER, a.a.O. in ZAK 1991 S. 390). Voraussetzung für eine ausreichende Kenntnis des Schädens ist aber, dass die Ausgleichskasse zu diesem Zeitpunkt bereits alle tatsächlichen Umstände über die Existenz, die Beschaffenheit und die wesentlichen Merkmale des Schädens (BGE 116 II 160 erw. 4a mit Hinweis, 116 V 76 Erw. 3b; ZAK 1992 S. 251 unten) sowie die Person des Ersatzpflichtigen (NUSSBAUMER, a.a.. in ZAK 1991 S. 390) kennt. Da die ausstehende Beitragsforderung Grundlage für die Höhe des Schädens bildet, kann daher eine Kenntnis bei der Publikation der Konkurseinstellung nur dann angenommen werden, wenn die Ausgleichskasse zu diesem Zeitpunkt bereits in der Lage ist, die Höhe der Beitragsforderung zu beziffern (nicht veröffentlichtes Urteil S. vom 7. Januar 2000)." Ora, gli accertamenti effettuati dal TCA hanno permesso di stabilire che la Cassa non poteva oggettivamente venire a conoscenza del danno prima del 3 agosto 1999. L'UEF di __________, dopo aver ricevuto la comunicazione 22 febbraio del Pretore (cfr. allegato _, doc. _), ha riattivato le procedure che sono rimaste in sospeso durante la moratoria concordataria (cfr. doc. _). In data 12 aprile 1999, la stessa società ha chiesto il fallimento depositando il bilancio ai sensi dell'art. 725a CO (cfr. alllegato _, doc. _). Visto che la decisione di sospensione della procedura per mancanza di attivi è del 3 agosto 1999, mentre la decisione di risarcimento è dell'11 aprile 2000, il credito risarcitorio non è perento. 2.4.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SVR 2000 AHV Nr. 16, pagg. 49-50).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2.5.   In sede di opposizione __________ ha sostenuto che l'importo del danno indicato dalla Cassa sarebbe troppo elevato.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Nella fattispecie in esame, occorre tuttavia rammentare che la società versava acconti mensili secondo il sistema forfetario. Ai sensi dell’art. 34 cpv. 3 OAVS, infatti, la cassa di compensazione può consentire al datore di lavoro di versare, invece dell'importo esatto dei contributi dovuti per un periodo di pagamento, una somma approssimativamente corrispondente. In tale caso, il conguaglio sarà fatto alla fine dell'anno civile. Questa procedura forfetaria permette al datore di lavoro di versare degli acconti, secondo le istruzioni della cassa di compensazione, sino alla fine dell’anno civile. Gli acconti sono stabiliti sull’ammontare dei salari soggetti all’AVS dell’anno precedente (Pratique VSI 1993 pag. 174 consid. 4b). Alla fine dell’anno civile la cassa di compensazione, sulla base dei dati definitivi forniti dal datore di lavoro (distinta salari), allestirà il conteggio finale, dal quale risulterà se sono stati determinati contributi in eccesso o in difetto (conguaglio) (cfr. N. 2030 delle Direttive sulla riscossione dei contributi, edite dall'UFAS). 2.6.   Nel caso di specie il convenuto si limita a contestare in modo generico il credito risarcitorio della Cassa senza minimamente indicare in cosa la Cassa avrebbe sbagliato, contravvenendo quindi all'obbligo di collaborazione sancito dalla giurisprudenza (RCC 1991 pag. 133, consid. II/1b). Nell'evenienza concreta, la massa salariale degli anni 1997, 1998 e 1999 è evincibile dai conteggi elaborati dalla Cassa sulla base dei quaderni salariali (cfr. doc. _). Dopo un attento controllo effettuato dal TCA, il calcolo della Cassa deve tuttavia essere corretto come segue. Infatti, per quel che concerne gli elementi del danno risarcibile, non possono essere inclusi i premi dell'assicurazione contro gli infortuni e quelli per la perdita di guadagno in caso di malattia (cfr. consid. 2.4). La Cassa ha per contro incluso nel danno i contributi dell'assicurazione perdita di guadagno in caso di malattia, di conseguenza dall'importo di fr. 78'470.45 si deve sottrarre l'importo di fr. 15'328.55 (contributi perdita di guadagno in caso di malattia 1997, 1998 e 1999: fr. 7'930.05 + 6'342.15 + 1'056.35). Riassumendo il danno subito dalla cassa è di fr. 63'141.90 . Inoltre va rilevato che i contributi paritetici devono essere riscossi, indipendentemente dal momento in cui il salario è pagato, su tutte le retribuzioni dovute per il periodo di attività lucrativa durante la quale il salariato era soggetto a obbligo di contribuzione (DTF 110 V 225). Pertanto, secondo la giurisprudenza, i contributi sociali sono dovuti dal momento in cui il lavoratore dipendente realizza il suo diritto al salario (RCC 1976, pag. 87). Nell'ambito della LADI, ad esempio, è richiesto che il lavoratore abbia esercitato un'attività salariata soggetta a contribuzione (DTF 113 V 352). Di conseguenza, non è determinante sapere se effettivamente il salario sia stato versato al lavoratore. 2.7.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può essere reso responsabile ai sensi dell'art. 52 LAVS, anche se non ha violato una prescrizione specifica della LAVS (RCC 1985, pag. 608 consid. 5b). 2.8.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2.9.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U. Cristoph Dieterle/U. Kieser, op. Cit. P. 658).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2.10.   __________ sostiene che, benché sia stato formalmente amministratore unico della __________, egli non si sarebbe mai occupato della gestione e amministrazione della società. Unici amministratori de facto della società sarebbero stati __________ e __________. Egli ha dichiarato inoltre che sarebbe stato tenuto all'oscuro della gestione della società da parte di __________ e __________ e che di conseguenza a lui non può essere imputata nessuna intenzionalità o grave negligenza. Innanzitutto va precisato che, secondo costante giurisprudenza (cfr. STCA 14 giugno 1995 in re G.C.; inc. __________) la responsabilità del datore di lavoro ai sensi dell'art. 52 LAVS non è in relazione alla gestione della società per se stessa, né alle cause di un fallimento. Accettando il mandato di amministratore unico della __________, __________ ha assunto tutti gli oneri che da tali funzioni derivano (cfr. STFA non pubblicata del 5 aprile 2001, nella causa A., H 436/00, consid. 3b ; STFA non pubblicata dell'8 marzo 2001 nella causa A. C., G. P. e F. F., H 115/00 e H 132/00, consid. 5b). La responsabilità per il corretto adempimento degli oneri assicurativi nonché la diligenza necessaria alla corretta gestione degli affari sociali non incombeva quindi solo ai presunti amministratori materiali __________ e __________, ma anche e soprattutto all'organo formale amministratore unico __________, trattandosi di attribuzioni inalienabili nel senso dell'art. 716a cpv. 1 cifra 5 CO (cfr. STFA del 13 novembre 2000 non pubblicata nella causa F.S., consid. 4b, H 238/98; STFA non pubblicata dell'8 marzo 2001 nella causa A. C. R., G. P. e F. F., H 115/00 e H 132/00, consid. 5c). In caso contrario si finirebbe con il legittimare la figura "dell'uomo di paglia" (cfr. STFA non pubblicata del 29 maggio 1995 nella causa A.C., consid. 3b, H 294/94). Ai sensi dell’art. 716a cpv. 1 cifra 5 CO ad ogni amministratore spetta “l’alta vigilanza sulle persone incaricate della gestione, in particolare per quanto concerne l’osservanza della legge, dello statuto, dei regolamenti e delle istruzioni “. Pertanto, secondo la giurisprudenza, egli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rispettate(DTF 114 V 219, consid. 4a = RCC 1989, pag. 1116, consid. 4a e STFA non pubblicata del 25 luglio 1991 in re V.E. cfr. anche STFA non pubblicata del 29 agosto 1997 in re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inedita del 21.12.1993 in re M.T.S. e STFA inedita del 15.12.1993 in re L.N.).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o l'amministratore unico, sarà ritenuto responsabile del danno. __________ addossa tutta la responsabilità a __________, i quali gli avrebbero occultato la vera situazione finanziaria della ditta. Egli sarebbe venuto a conoscenza delle difficoltà finanziarie della società solo poco tempo prima della concessione della moratoria concordataria. Al proposito va rilevato che effettivamente, secondo il TFA, non vi è colpa degli altri amministratori (rispettivamente del socio gerente di una società a garanzia limitata), quando l'incaricato alle questioni contributive si sottrae ai suoi obblighi di informazione nei loro confronti (cfr. STFA non pubbl. del 7 dicembre 1993 in re G. F.), cioè quando un convenuto è in grado di provare di essere stato impedito di accedere alle informazioni relative al pagamento degli oneri sociali. Nel caso in cui il reale amministratore di una società sottaccia, scientemente e volontariamente, l’effettiva situazione della società agli altri amministratori - segnatamente per questioni di prestigio o di pudore - questi ultimi non potranno essere ritenuti responsabili del danno cagionato alla cassa di compensazione (STFA non pubblicate del 30 marzo 1993 in re D.S. e del 9 maggio 1993 in re T.B. e STCA del 31 marzo 1995 in re W.W). È comunque implicito che, affinché tale giurisprudenza possa trovare applicazione, l’organo che intende discolparsi, deve dimostrare che l’effettiva, reale situazione della ditta non era riconoscibile mediante i controlli che la legge impone ad un amministratore. Parimenti non vi è colpa degli altri membri del CdA quando l’incaricato alla gestione, intenzionalmente si sottrae ai suoi obblighi di informazione nei confronti degli altri membri del consiglio o fornisce loro delle informazioni errate, ma affidabili (STFA non pubblicata del 7 dicembre 1993 nella causa G.F.). Le argomentazioni sollevate dal convenuto nella fattispecie in esame non sono sufficienti per liberarlo della responsabilità ex art. 52 LAVS. Egli non ha infatti minimamente provato di essere stato impedito di prendere informazioni in merito al pagamento dei contributi sociali. Il convenuto si è limitato ad affermare che __________ e __________ lo avrebbero tenuto all'oscuro delle difficoltà della società, sottacendogli invece la reale situazione di crisi che attraversava la ditta. L'argomentazione del convenuto non merita tutela, in quanto,  come visto in precedenza, l'amministratore unico deve informarsi regolarmente sull'andamento della ditta o perlomeno assicurasi personalmente e puntualmente che i contributi venissero versati alla Cassa e verificare che non ci fossero arretrati contributivi. Non è sufficiente affermare di essere stati tenuti all'oscuro da tutto. Essersi fidato della presunta gestione di __________ e __________, senza una regolare ed accurata verifica della situazione finanziaria della ditta, è segno di una grave negligenza dell'amministratore unico. I controlli gli avrebbero permesso di appurare la precaria situazione finanziaria della società (cfr. STFA non pubblicata dell'8 marzo 2001 nella causa A. C., G. P. e F. F., H 115/00 e H 132/00, consid. 8b). Per quanto concerne l'argomentazione secondo la quale unici responsabili del danno sarebbero stati __________ e __________ i, giova ricordare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non pubblicata nella causa F.S., consid. 4b, H 238/98). Se __________ avesse controllato regolarmente la situazione relativa al pagamento dei contributi paritetici, si sarebbe accorto delle difficoltà finanziarie della società e si sarebbe potuto dimettere immediatamente evitando di trovarsi in una simile situazione. Del resto, la passività a dispetto della conoscenza (eventuale) di mancati pagamenti di contributi deve essere considerata un’inosservanza per negligenza grave delle prescrizioni (RCC 1989 pag. 115). Il fatto di aver immesso liquidità per oltre fr. 18'000.-- al fine di sanare la situazione della società non è, per i motivi appena enunciati, sufficiente per esimere il convenuto da una responsabilità ex art. 52 LAVS. In sostanza, il disinteresse mostrato da __________ ne determina la sua responsabilità ex art. 52 LAVS. Il convenuto ha omesso di compiere quanto doveva apparire importante a qualsiasi persona ragionevole nell'ambito delle incombenze riconducibili alla funzione di amministratore unico di una società anonima. Egli ha omesso di verificare se i contributi sociali fossero stati pagati. Queste omissioni costituiscono una grave violazione del suo dovere di diligenza (cfr. RCC 1992, pag. 269), doveri che risultano accresciuti quando si tratti, come in concreto, di un amministratore unico ( STFA non pubblicata del 5 aprile 2001, nella causa A., H 436/00, consid. 3b; DTF 112 V 3 consid. 2b; cfr. anche DTF 122 III 198 consid. 3a). 2.11.   __________ ha chiesto che vengano convenuti anche __________ e __________, in quanto amministratori materiali della società. A prescindere dall'esistenza o meno degli elementi per convenire in giudizio il __________ e __________, va comunque ricordato che, secondo la giurisprudenza del TFA, alla cassa di compensazione spetta per legge un’ampia facoltà di decidere, nel caso di solidarietà tra più debitori, se convenire in giudizio tutti i debitori o soltanto uno o solo alcuni di essi. Qualora la Cassa omette di procedere contro uno di loro, nessun’altra autorità può sostituirsi ad essa ed agire al suo posto (DTF 108 V 195 consid. 3). In tal senso, dunque, il TCA non può intervenire. Del resto la Cassa ha affermato di riservarsi, dopo gli accertamenti del caso, di procedere contro questi ultimi (cfr. doc. _). 2.12.   Infine, per quanto riguarda la richiesta di assunzione di prove fatte dal convenuto, corollario del diritto di essere sentito ai sensi dell’art. 29 cpv. 2 CF,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sancito dall'art. 29 cpv. 2 CF (DTF 122 V 162 consid. 1d, 119 V 344 consid. 3c con riferimenti). Nel caso in esame, la documentazione acquisita durante l'istruttoria è sufficiente per statuire in merito alla presente vertenza, per cui il TCA non ritiene necessario assumere altre prove. I documenti necessari per la pronuncia della sentenza sono stati richiesti direttamente dal TCA alla Pretura di __________. Non è stato precisato dal convenuto cosa chiarirebbero tutti gli incarti concernenti la __________, da richiedere presso l'UEF di __________. Le audizioni testimoniali richieste sono superflue, in quanto la posizione di __________ è stata ampiamente chiarita dal TCA (cfr. consid. 2.10.). Per quanto concerne la richiesta di visionare le dichiarazioni dei salari ed i conteggi relativi ai salari formulata con lo scritto 13 settembre 2001 (cfr. doc. _), si rammenta al convenuto che tali documenti erano stati prodotti con la petizione di causa e quindi a disposizione delle parti sin dal 6 giugno 2000 (cfr. doc. 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